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23" w:rsidRDefault="00A97923" w:rsidP="00A97923">
      <w:pPr>
        <w:jc w:val="both"/>
      </w:pPr>
    </w:p>
    <w:p w:rsidR="00A97923" w:rsidRPr="00160657" w:rsidRDefault="00A97923" w:rsidP="00A97923">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160657">
        <w:rPr>
          <w:rFonts w:cstheme="minorHAnsi"/>
          <w:b/>
          <w:sz w:val="20"/>
          <w:szCs w:val="20"/>
        </w:rPr>
        <w:t xml:space="preserve">Verslag Stuurgroep LOP Oudenaarde Basis </w:t>
      </w:r>
    </w:p>
    <w:p w:rsidR="00A97923" w:rsidRPr="00160657" w:rsidRDefault="00A97923" w:rsidP="00A97923">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Pr>
          <w:rFonts w:cstheme="minorHAnsi"/>
          <w:b/>
          <w:sz w:val="20"/>
          <w:szCs w:val="20"/>
        </w:rPr>
        <w:t>29 januari 2018</w:t>
      </w:r>
    </w:p>
    <w:p w:rsidR="00A97923" w:rsidRPr="00160657" w:rsidRDefault="00A97923" w:rsidP="00A97923">
      <w:pPr>
        <w:spacing w:line="276" w:lineRule="auto"/>
        <w:jc w:val="both"/>
        <w:rPr>
          <w:rFonts w:cstheme="minorHAnsi"/>
          <w:b/>
          <w:sz w:val="20"/>
          <w:szCs w:val="20"/>
        </w:rPr>
      </w:pPr>
    </w:p>
    <w:p w:rsidR="00A97923" w:rsidRPr="00160657" w:rsidRDefault="00A97923" w:rsidP="00A97923">
      <w:pPr>
        <w:shd w:val="clear" w:color="auto" w:fill="D9D9D9" w:themeFill="background1" w:themeFillShade="D9"/>
        <w:tabs>
          <w:tab w:val="left" w:pos="709"/>
        </w:tabs>
        <w:spacing w:line="276" w:lineRule="auto"/>
        <w:jc w:val="both"/>
        <w:rPr>
          <w:rFonts w:cstheme="minorHAnsi"/>
          <w:b/>
          <w:sz w:val="20"/>
          <w:szCs w:val="20"/>
        </w:rPr>
      </w:pPr>
      <w:r w:rsidRPr="00160657">
        <w:rPr>
          <w:rFonts w:cstheme="minorHAnsi"/>
          <w:b/>
          <w:sz w:val="20"/>
          <w:szCs w:val="20"/>
        </w:rPr>
        <w:t>Aanwezig / Verontschuldigd</w:t>
      </w:r>
    </w:p>
    <w:p w:rsidR="00A97923" w:rsidRPr="00160657" w:rsidRDefault="00A97923" w:rsidP="00A97923">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 xml:space="preserve">Nathalie Van </w:t>
            </w:r>
            <w:proofErr w:type="spellStart"/>
            <w:r w:rsidRPr="00160657">
              <w:rPr>
                <w:sz w:val="20"/>
                <w:szCs w:val="20"/>
              </w:rPr>
              <w:t>Driessche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ind w:right="-108"/>
              <w:jc w:val="both"/>
              <w:rPr>
                <w:sz w:val="20"/>
                <w:szCs w:val="20"/>
              </w:rPr>
            </w:pPr>
            <w:r w:rsidRPr="00160657">
              <w:rPr>
                <w:sz w:val="20"/>
                <w:szCs w:val="20"/>
              </w:rPr>
              <w:t xml:space="preserve">GO </w:t>
            </w:r>
            <w:proofErr w:type="spellStart"/>
            <w:r w:rsidRPr="00160657">
              <w:rPr>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Pr>
                <w:sz w:val="20"/>
                <w:szCs w:val="20"/>
              </w:rPr>
              <w:t>A</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 xml:space="preserve">Mieke Van </w:t>
            </w:r>
            <w:proofErr w:type="spellStart"/>
            <w:r w:rsidRPr="00160657">
              <w:rPr>
                <w:sz w:val="20"/>
                <w:szCs w:val="20"/>
              </w:rPr>
              <w:t>Maercke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Pr>
                <w:sz w:val="20"/>
                <w:szCs w:val="20"/>
              </w:rPr>
              <w:t>V</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Martine Vermeersch</w:t>
            </w:r>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 xml:space="preserve">MPI ‘t </w:t>
            </w:r>
            <w:proofErr w:type="spellStart"/>
            <w:r w:rsidRPr="00160657">
              <w:rPr>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Pr>
                <w:sz w:val="20"/>
                <w:szCs w:val="20"/>
              </w:rPr>
              <w:t>V</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Wim Van Nieuwenhuize</w:t>
            </w:r>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KBO Levensblij</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A</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 xml:space="preserve">Ann </w:t>
            </w:r>
            <w:proofErr w:type="spellStart"/>
            <w:r w:rsidRPr="00160657">
              <w:rPr>
                <w:sz w:val="20"/>
                <w:szCs w:val="20"/>
              </w:rPr>
              <w:t>Vancoppenolle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A</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 xml:space="preserve">Caroline van </w:t>
            </w:r>
            <w:proofErr w:type="spellStart"/>
            <w:r w:rsidRPr="00160657">
              <w:rPr>
                <w:sz w:val="20"/>
                <w:szCs w:val="20"/>
              </w:rPr>
              <w:t>Driessche</w:t>
            </w:r>
            <w:proofErr w:type="spellEnd"/>
            <w:r w:rsidRPr="00160657">
              <w:rPr>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Pr>
                <w:sz w:val="20"/>
                <w:szCs w:val="20"/>
              </w:rPr>
              <w:t>A</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 xml:space="preserve">Ludwig Van </w:t>
            </w:r>
            <w:proofErr w:type="spellStart"/>
            <w:r w:rsidRPr="00160657">
              <w:rPr>
                <w:sz w:val="20"/>
                <w:szCs w:val="20"/>
              </w:rPr>
              <w:t>Tendeloo</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Pr>
                <w:sz w:val="20"/>
                <w:szCs w:val="20"/>
              </w:rPr>
              <w:t>V</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proofErr w:type="spellStart"/>
            <w:r w:rsidRPr="00160657">
              <w:rPr>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V</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 xml:space="preserve">Wouter </w:t>
            </w:r>
            <w:proofErr w:type="spellStart"/>
            <w:r w:rsidRPr="00160657">
              <w:rPr>
                <w:sz w:val="20"/>
                <w:szCs w:val="20"/>
              </w:rPr>
              <w:t>Decoodt</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V</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lang w:val="nl-NL"/>
              </w:rPr>
            </w:pPr>
            <w:r w:rsidRPr="00160657">
              <w:rPr>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Pr>
                <w:sz w:val="20"/>
                <w:szCs w:val="20"/>
              </w:rPr>
              <w:t>V</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Dirk Librecht</w:t>
            </w:r>
            <w:bookmarkStart w:id="0" w:name="_GoBack"/>
            <w:bookmarkEnd w:id="0"/>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A</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proofErr w:type="spellStart"/>
            <w:r w:rsidRPr="00160657">
              <w:rPr>
                <w:sz w:val="20"/>
                <w:szCs w:val="20"/>
                <w:lang w:val="en-GB"/>
              </w:rPr>
              <w:t>Messa</w:t>
            </w:r>
            <w:proofErr w:type="spellEnd"/>
            <w:r w:rsidRPr="00160657">
              <w:rPr>
                <w:sz w:val="20"/>
                <w:szCs w:val="20"/>
                <w:lang w:val="en-GB"/>
              </w:rPr>
              <w:t xml:space="preserve"> </w:t>
            </w:r>
            <w:proofErr w:type="spellStart"/>
            <w:r w:rsidRPr="00160657">
              <w:rPr>
                <w:sz w:val="20"/>
                <w:szCs w:val="20"/>
                <w:lang w:val="en-GB"/>
              </w:rPr>
              <w:t>Zaouali</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Agentscha</w:t>
            </w:r>
            <w:r>
              <w:rPr>
                <w:sz w:val="20"/>
                <w:szCs w:val="20"/>
              </w:rPr>
              <w:t>p</w:t>
            </w:r>
            <w:r w:rsidRPr="00160657">
              <w:rPr>
                <w:sz w:val="20"/>
                <w:szCs w:val="20"/>
              </w:rPr>
              <w:t xml:space="preserve">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lang w:val="en-GB"/>
              </w:rPr>
            </w:pPr>
            <w:r w:rsidRPr="00160657">
              <w:rPr>
                <w:sz w:val="20"/>
                <w:szCs w:val="20"/>
                <w:lang w:val="en-GB"/>
              </w:rPr>
              <w:t>V</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Pr>
                <w:sz w:val="20"/>
                <w:szCs w:val="20"/>
              </w:rPr>
              <w:t xml:space="preserve">Bert </w:t>
            </w:r>
            <w:proofErr w:type="spellStart"/>
            <w:r>
              <w:rPr>
                <w:sz w:val="20"/>
                <w:szCs w:val="20"/>
              </w:rPr>
              <w:t>Evenepoel</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lang w:val="en-GB"/>
              </w:rPr>
            </w:pPr>
            <w:proofErr w:type="spellStart"/>
            <w:r w:rsidRPr="00160657">
              <w:rPr>
                <w:sz w:val="20"/>
                <w:szCs w:val="20"/>
                <w:lang w:val="en-GB"/>
              </w:rPr>
              <w:t>Sociaal</w:t>
            </w:r>
            <w:proofErr w:type="spellEnd"/>
            <w:r w:rsidRPr="00160657">
              <w:rPr>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Pr>
                <w:sz w:val="20"/>
                <w:szCs w:val="20"/>
              </w:rPr>
              <w:t>A</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lang w:val="en-GB"/>
              </w:rPr>
            </w:pPr>
            <w:proofErr w:type="spellStart"/>
            <w:r w:rsidRPr="00160657">
              <w:rPr>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V</w:t>
            </w:r>
          </w:p>
        </w:tc>
      </w:tr>
      <w:tr w:rsidR="00C15B4D"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tcPr>
          <w:p w:rsidR="00C15B4D" w:rsidRPr="00160657" w:rsidRDefault="00C15B4D" w:rsidP="007E7176">
            <w:pPr>
              <w:pStyle w:val="Geenafstand"/>
              <w:jc w:val="both"/>
              <w:rPr>
                <w:sz w:val="20"/>
                <w:szCs w:val="20"/>
              </w:rPr>
            </w:pPr>
            <w:r>
              <w:rPr>
                <w:sz w:val="20"/>
                <w:szCs w:val="20"/>
              </w:rPr>
              <w:t xml:space="preserve">Annick </w:t>
            </w:r>
            <w:proofErr w:type="spellStart"/>
            <w:r>
              <w:rPr>
                <w:sz w:val="20"/>
                <w:szCs w:val="20"/>
              </w:rPr>
              <w:t>Dezutter</w:t>
            </w:r>
            <w:proofErr w:type="spellEnd"/>
          </w:p>
        </w:tc>
        <w:tc>
          <w:tcPr>
            <w:tcW w:w="5529" w:type="dxa"/>
            <w:tcBorders>
              <w:top w:val="single" w:sz="4" w:space="0" w:color="auto"/>
              <w:left w:val="single" w:sz="4" w:space="0" w:color="auto"/>
              <w:bottom w:val="single" w:sz="4" w:space="0" w:color="auto"/>
              <w:right w:val="single" w:sz="4" w:space="0" w:color="auto"/>
            </w:tcBorders>
          </w:tcPr>
          <w:p w:rsidR="00C15B4D" w:rsidRPr="00160657" w:rsidRDefault="00C15B4D" w:rsidP="007E7176">
            <w:pPr>
              <w:pStyle w:val="Geenafstand"/>
              <w:jc w:val="both"/>
              <w:rPr>
                <w:sz w:val="20"/>
                <w:szCs w:val="20"/>
                <w:lang w:val="en-GB"/>
              </w:rPr>
            </w:pPr>
            <w:proofErr w:type="spellStart"/>
            <w:r>
              <w:rPr>
                <w:sz w:val="20"/>
                <w:szCs w:val="20"/>
                <w:lang w:val="en-GB"/>
              </w:rPr>
              <w:t>Oudenaardse</w:t>
            </w:r>
            <w:proofErr w:type="spellEnd"/>
            <w:r>
              <w:rPr>
                <w:sz w:val="20"/>
                <w:szCs w:val="20"/>
                <w:lang w:val="en-GB"/>
              </w:rPr>
              <w:t xml:space="preserve"> </w:t>
            </w:r>
            <w:proofErr w:type="spellStart"/>
            <w:r>
              <w:rPr>
                <w:sz w:val="20"/>
                <w:szCs w:val="20"/>
                <w:lang w:val="en-GB"/>
              </w:rPr>
              <w:t>Onderwijsraad</w:t>
            </w:r>
            <w:proofErr w:type="spellEnd"/>
          </w:p>
        </w:tc>
        <w:tc>
          <w:tcPr>
            <w:tcW w:w="709" w:type="dxa"/>
            <w:tcBorders>
              <w:top w:val="single" w:sz="4" w:space="0" w:color="auto"/>
              <w:left w:val="single" w:sz="4" w:space="0" w:color="auto"/>
              <w:bottom w:val="single" w:sz="4" w:space="0" w:color="auto"/>
              <w:right w:val="single" w:sz="4" w:space="0" w:color="auto"/>
            </w:tcBorders>
          </w:tcPr>
          <w:p w:rsidR="00C15B4D" w:rsidRPr="00160657" w:rsidRDefault="00C15B4D" w:rsidP="007E7176">
            <w:pPr>
              <w:pStyle w:val="Geenafstand"/>
              <w:jc w:val="both"/>
              <w:rPr>
                <w:sz w:val="20"/>
                <w:szCs w:val="20"/>
              </w:rPr>
            </w:pPr>
            <w:r>
              <w:rPr>
                <w:sz w:val="20"/>
                <w:szCs w:val="20"/>
              </w:rPr>
              <w:t>A</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Pr>
                <w:sz w:val="20"/>
                <w:szCs w:val="20"/>
              </w:rPr>
              <w:t>A</w:t>
            </w:r>
          </w:p>
        </w:tc>
      </w:tr>
      <w:tr w:rsidR="00A97923" w:rsidRPr="00160657" w:rsidTr="007E7176">
        <w:trPr>
          <w:trHeight w:val="57"/>
        </w:trPr>
        <w:tc>
          <w:tcPr>
            <w:tcW w:w="2722"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rsidR="00A97923" w:rsidRPr="00160657" w:rsidRDefault="00A97923" w:rsidP="007E7176">
            <w:pPr>
              <w:pStyle w:val="Geenafstand"/>
              <w:jc w:val="both"/>
              <w:rPr>
                <w:sz w:val="20"/>
                <w:szCs w:val="20"/>
              </w:rPr>
            </w:pPr>
            <w:r w:rsidRPr="00160657">
              <w:rPr>
                <w:sz w:val="20"/>
                <w:szCs w:val="20"/>
              </w:rPr>
              <w:t>A</w:t>
            </w:r>
          </w:p>
        </w:tc>
      </w:tr>
    </w:tbl>
    <w:p w:rsidR="0066563D" w:rsidRDefault="0066563D" w:rsidP="0066563D">
      <w:pPr>
        <w:pStyle w:val="Geenafstand"/>
      </w:pPr>
    </w:p>
    <w:p w:rsidR="0066563D" w:rsidRPr="0066563D" w:rsidRDefault="0066563D" w:rsidP="0066563D">
      <w:pPr>
        <w:ind w:left="142"/>
        <w:rPr>
          <w:i/>
          <w:sz w:val="20"/>
          <w:szCs w:val="20"/>
        </w:rPr>
      </w:pPr>
      <w:r w:rsidRPr="0066563D">
        <w:rPr>
          <w:i/>
          <w:sz w:val="20"/>
          <w:szCs w:val="20"/>
        </w:rPr>
        <w:t>Uitgenodigd</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66563D" w:rsidRPr="0066563D" w:rsidTr="007E7176">
        <w:trPr>
          <w:trHeight w:val="57"/>
        </w:trPr>
        <w:tc>
          <w:tcPr>
            <w:tcW w:w="2722" w:type="dxa"/>
            <w:tcBorders>
              <w:top w:val="single" w:sz="4" w:space="0" w:color="auto"/>
              <w:left w:val="single" w:sz="4" w:space="0" w:color="auto"/>
              <w:bottom w:val="single" w:sz="4" w:space="0" w:color="auto"/>
              <w:right w:val="single" w:sz="4" w:space="0" w:color="auto"/>
            </w:tcBorders>
          </w:tcPr>
          <w:p w:rsidR="0066563D" w:rsidRPr="0066563D" w:rsidRDefault="0066563D" w:rsidP="0066563D">
            <w:pPr>
              <w:pStyle w:val="Geenafstand"/>
              <w:rPr>
                <w:sz w:val="20"/>
                <w:szCs w:val="20"/>
              </w:rPr>
            </w:pPr>
            <w:r w:rsidRPr="0066563D">
              <w:rPr>
                <w:rFonts w:cstheme="minorHAnsi"/>
                <w:bCs/>
                <w:sz w:val="20"/>
                <w:szCs w:val="20"/>
              </w:rPr>
              <w:t>Hilya Haspeslagh</w:t>
            </w:r>
          </w:p>
        </w:tc>
        <w:tc>
          <w:tcPr>
            <w:tcW w:w="5529" w:type="dxa"/>
            <w:tcBorders>
              <w:top w:val="single" w:sz="4" w:space="0" w:color="auto"/>
              <w:left w:val="single" w:sz="4" w:space="0" w:color="auto"/>
              <w:bottom w:val="single" w:sz="4" w:space="0" w:color="auto"/>
              <w:right w:val="single" w:sz="4" w:space="0" w:color="auto"/>
            </w:tcBorders>
          </w:tcPr>
          <w:p w:rsidR="0066563D" w:rsidRPr="0066563D" w:rsidRDefault="0066563D" w:rsidP="0066563D">
            <w:pPr>
              <w:pStyle w:val="Geenafstand"/>
              <w:rPr>
                <w:rFonts w:cstheme="minorHAnsi"/>
                <w:bCs/>
                <w:sz w:val="20"/>
                <w:szCs w:val="20"/>
              </w:rPr>
            </w:pPr>
            <w:r w:rsidRPr="0066563D">
              <w:rPr>
                <w:sz w:val="20"/>
                <w:szCs w:val="20"/>
              </w:rPr>
              <w:t>Netwerk Samen tegen Schooluitval</w:t>
            </w:r>
            <w:r w:rsidRPr="0066563D">
              <w:rPr>
                <w:rFonts w:cstheme="minorHAnsi"/>
                <w:bCs/>
                <w:sz w:val="20"/>
                <w:szCs w:val="20"/>
              </w:rPr>
              <w:t xml:space="preserve"> (provinciaal coördinator)</w:t>
            </w:r>
          </w:p>
        </w:tc>
        <w:tc>
          <w:tcPr>
            <w:tcW w:w="709" w:type="dxa"/>
            <w:tcBorders>
              <w:top w:val="single" w:sz="4" w:space="0" w:color="auto"/>
              <w:left w:val="single" w:sz="4" w:space="0" w:color="auto"/>
              <w:bottom w:val="single" w:sz="4" w:space="0" w:color="auto"/>
              <w:right w:val="single" w:sz="4" w:space="0" w:color="auto"/>
            </w:tcBorders>
          </w:tcPr>
          <w:p w:rsidR="0066563D" w:rsidRPr="0066563D" w:rsidRDefault="0066563D" w:rsidP="0066563D">
            <w:pPr>
              <w:pStyle w:val="Geenafstand"/>
              <w:jc w:val="center"/>
              <w:rPr>
                <w:rStyle w:val="Hyperlink"/>
                <w:rFonts w:cstheme="minorHAnsi"/>
                <w:sz w:val="20"/>
                <w:szCs w:val="20"/>
                <w:u w:val="none"/>
              </w:rPr>
            </w:pPr>
            <w:r w:rsidRPr="0066563D">
              <w:rPr>
                <w:rStyle w:val="Hyperlink"/>
                <w:rFonts w:cstheme="minorHAnsi"/>
                <w:color w:val="auto"/>
                <w:sz w:val="20"/>
                <w:szCs w:val="20"/>
                <w:u w:val="none"/>
              </w:rPr>
              <w:t>A</w:t>
            </w:r>
          </w:p>
        </w:tc>
      </w:tr>
    </w:tbl>
    <w:p w:rsidR="00A97923" w:rsidRPr="0066563D" w:rsidRDefault="00A97923" w:rsidP="00A97923">
      <w:pPr>
        <w:spacing w:line="276" w:lineRule="auto"/>
        <w:jc w:val="both"/>
        <w:rPr>
          <w:rFonts w:cstheme="minorHAnsi"/>
          <w:b/>
          <w:sz w:val="20"/>
          <w:szCs w:val="20"/>
        </w:rPr>
      </w:pPr>
    </w:p>
    <w:p w:rsidR="00A97923" w:rsidRPr="00160657" w:rsidRDefault="00A97923" w:rsidP="00A97923">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shd w:val="clear" w:color="auto" w:fill="BFBFBF" w:themeFill="background1" w:themeFillShade="BF"/>
        </w:rPr>
        <w:t>Bijla</w:t>
      </w:r>
      <w:r w:rsidRPr="00160657">
        <w:rPr>
          <w:rFonts w:cstheme="minorHAnsi"/>
          <w:b/>
          <w:sz w:val="20"/>
          <w:szCs w:val="20"/>
        </w:rPr>
        <w:t>gen</w:t>
      </w:r>
    </w:p>
    <w:p w:rsidR="005D2B1D" w:rsidRDefault="005D2B1D" w:rsidP="005D2B1D">
      <w:pPr>
        <w:pStyle w:val="Geenafstand"/>
        <w:numPr>
          <w:ilvl w:val="0"/>
          <w:numId w:val="13"/>
        </w:numPr>
        <w:jc w:val="both"/>
        <w:rPr>
          <w:sz w:val="20"/>
          <w:szCs w:val="20"/>
        </w:rPr>
      </w:pPr>
      <w:r>
        <w:rPr>
          <w:sz w:val="20"/>
          <w:szCs w:val="20"/>
        </w:rPr>
        <w:t>Grafiek evolutie sociale mix Oudenaarde basisonderwijs in de periode 2007 – 2016</w:t>
      </w:r>
    </w:p>
    <w:p w:rsidR="005D2B1D" w:rsidRDefault="005D2B1D" w:rsidP="005D2B1D">
      <w:pPr>
        <w:pStyle w:val="Geenafstand"/>
        <w:numPr>
          <w:ilvl w:val="0"/>
          <w:numId w:val="13"/>
        </w:numPr>
        <w:jc w:val="both"/>
        <w:rPr>
          <w:sz w:val="20"/>
          <w:szCs w:val="20"/>
        </w:rPr>
      </w:pPr>
      <w:r>
        <w:rPr>
          <w:sz w:val="20"/>
          <w:szCs w:val="20"/>
        </w:rPr>
        <w:t>Histogram sociale mix Oudenaarde basisonderwijs 2017</w:t>
      </w:r>
    </w:p>
    <w:p w:rsidR="005D2B1D" w:rsidRDefault="005D2B1D" w:rsidP="005D2B1D">
      <w:pPr>
        <w:pStyle w:val="Geenafstand"/>
        <w:numPr>
          <w:ilvl w:val="0"/>
          <w:numId w:val="13"/>
        </w:numPr>
        <w:jc w:val="both"/>
        <w:rPr>
          <w:sz w:val="20"/>
          <w:szCs w:val="20"/>
        </w:rPr>
      </w:pPr>
      <w:r>
        <w:rPr>
          <w:sz w:val="20"/>
          <w:szCs w:val="20"/>
        </w:rPr>
        <w:t>Tabel evolutie sociale mix per vestigingsplaats</w:t>
      </w:r>
      <w:r w:rsidR="00CE48FE">
        <w:rPr>
          <w:sz w:val="20"/>
          <w:szCs w:val="20"/>
        </w:rPr>
        <w:t xml:space="preserve"> 2005-2016</w:t>
      </w:r>
    </w:p>
    <w:p w:rsidR="005D2B1D" w:rsidRDefault="005D2B1D" w:rsidP="005D2B1D">
      <w:pPr>
        <w:pStyle w:val="Geenafstand"/>
        <w:numPr>
          <w:ilvl w:val="0"/>
          <w:numId w:val="13"/>
        </w:numPr>
        <w:jc w:val="both"/>
        <w:rPr>
          <w:sz w:val="20"/>
          <w:szCs w:val="20"/>
        </w:rPr>
      </w:pPr>
      <w:r>
        <w:rPr>
          <w:sz w:val="20"/>
          <w:szCs w:val="20"/>
        </w:rPr>
        <w:t>Tabellen relatieve aanwezigheid indicatorleerlingen per 1 februari 2017 + evolutie 20</w:t>
      </w:r>
      <w:r w:rsidR="005F44AC">
        <w:rPr>
          <w:sz w:val="20"/>
          <w:szCs w:val="20"/>
        </w:rPr>
        <w:t>1</w:t>
      </w:r>
      <w:r>
        <w:rPr>
          <w:sz w:val="20"/>
          <w:szCs w:val="20"/>
        </w:rPr>
        <w:t>1-2017</w:t>
      </w:r>
    </w:p>
    <w:p w:rsidR="00A97923" w:rsidRDefault="00A97923" w:rsidP="00A97923">
      <w:pPr>
        <w:pStyle w:val="Geenafstand"/>
        <w:jc w:val="both"/>
        <w:rPr>
          <w:sz w:val="20"/>
          <w:szCs w:val="20"/>
        </w:rPr>
      </w:pPr>
    </w:p>
    <w:p w:rsidR="00A97923" w:rsidRPr="00160657" w:rsidRDefault="00A97923" w:rsidP="00A97923">
      <w:pPr>
        <w:pStyle w:val="Geenafstand"/>
        <w:jc w:val="both"/>
        <w:rPr>
          <w:sz w:val="20"/>
          <w:szCs w:val="20"/>
        </w:rPr>
      </w:pPr>
    </w:p>
    <w:p w:rsidR="00A97923" w:rsidRPr="00160657" w:rsidRDefault="00A97923" w:rsidP="00A97923">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Data volgende bijeenkomsten</w:t>
      </w:r>
    </w:p>
    <w:p w:rsidR="00A97923" w:rsidRPr="00160657" w:rsidRDefault="00A97923" w:rsidP="00A97923">
      <w:pPr>
        <w:pStyle w:val="Geenafstand"/>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2355"/>
        <w:gridCol w:w="1012"/>
        <w:gridCol w:w="2594"/>
        <w:gridCol w:w="3055"/>
      </w:tblGrid>
      <w:tr w:rsidR="00A97923" w:rsidRPr="00D22018" w:rsidTr="00C15B4D">
        <w:tc>
          <w:tcPr>
            <w:tcW w:w="2355" w:type="dxa"/>
            <w:vAlign w:val="center"/>
          </w:tcPr>
          <w:p w:rsidR="00A97923" w:rsidRPr="00D22018" w:rsidRDefault="00A97923" w:rsidP="007E7176">
            <w:pPr>
              <w:pStyle w:val="Geenafstand"/>
              <w:jc w:val="both"/>
              <w:rPr>
                <w:rStyle w:val="Zwaar"/>
                <w:b w:val="0"/>
                <w:szCs w:val="20"/>
              </w:rPr>
            </w:pPr>
            <w:r w:rsidRPr="00D22018">
              <w:rPr>
                <w:rStyle w:val="Zwaar"/>
                <w:b w:val="0"/>
                <w:szCs w:val="20"/>
              </w:rPr>
              <w:t>Datum</w:t>
            </w:r>
          </w:p>
        </w:tc>
        <w:tc>
          <w:tcPr>
            <w:tcW w:w="1012" w:type="dxa"/>
            <w:vAlign w:val="center"/>
          </w:tcPr>
          <w:p w:rsidR="00A97923" w:rsidRPr="00D22018" w:rsidRDefault="00A97923" w:rsidP="007E7176">
            <w:pPr>
              <w:pStyle w:val="Geenafstand"/>
              <w:jc w:val="both"/>
              <w:rPr>
                <w:rStyle w:val="Zwaar"/>
                <w:b w:val="0"/>
                <w:szCs w:val="20"/>
              </w:rPr>
            </w:pPr>
            <w:r w:rsidRPr="00D22018">
              <w:rPr>
                <w:rStyle w:val="Zwaar"/>
                <w:b w:val="0"/>
                <w:szCs w:val="20"/>
              </w:rPr>
              <w:t>Aanvang</w:t>
            </w:r>
          </w:p>
        </w:tc>
        <w:tc>
          <w:tcPr>
            <w:tcW w:w="2594" w:type="dxa"/>
          </w:tcPr>
          <w:p w:rsidR="00A97923" w:rsidRPr="00D22018" w:rsidRDefault="00A97923" w:rsidP="007E7176">
            <w:pPr>
              <w:pStyle w:val="Geenafstand"/>
              <w:jc w:val="both"/>
              <w:rPr>
                <w:rStyle w:val="Zwaar"/>
                <w:b w:val="0"/>
                <w:szCs w:val="20"/>
              </w:rPr>
            </w:pPr>
          </w:p>
        </w:tc>
        <w:tc>
          <w:tcPr>
            <w:tcW w:w="3055" w:type="dxa"/>
            <w:vAlign w:val="center"/>
          </w:tcPr>
          <w:p w:rsidR="00A97923" w:rsidRPr="00D22018" w:rsidRDefault="00A97923" w:rsidP="007E7176">
            <w:pPr>
              <w:pStyle w:val="Geenafstand"/>
              <w:jc w:val="both"/>
              <w:rPr>
                <w:rStyle w:val="Zwaar"/>
                <w:b w:val="0"/>
                <w:szCs w:val="20"/>
              </w:rPr>
            </w:pPr>
            <w:r w:rsidRPr="00D22018">
              <w:rPr>
                <w:rStyle w:val="Zwaar"/>
                <w:b w:val="0"/>
                <w:szCs w:val="20"/>
              </w:rPr>
              <w:t>Locatie</w:t>
            </w:r>
          </w:p>
        </w:tc>
      </w:tr>
      <w:tr w:rsidR="00A97923" w:rsidRPr="00D22018" w:rsidTr="00C15B4D">
        <w:tc>
          <w:tcPr>
            <w:tcW w:w="2355" w:type="dxa"/>
          </w:tcPr>
          <w:p w:rsidR="00A97923" w:rsidRPr="00D22018" w:rsidRDefault="00A97923" w:rsidP="007E7176">
            <w:pPr>
              <w:pStyle w:val="Geenafstand"/>
              <w:jc w:val="both"/>
              <w:rPr>
                <w:rStyle w:val="Zwaar"/>
                <w:b w:val="0"/>
                <w:szCs w:val="20"/>
              </w:rPr>
            </w:pPr>
            <w:r w:rsidRPr="00D22018">
              <w:rPr>
                <w:rStyle w:val="Zwaar"/>
                <w:b w:val="0"/>
                <w:szCs w:val="20"/>
              </w:rPr>
              <w:t>5 maart 2018</w:t>
            </w:r>
          </w:p>
        </w:tc>
        <w:tc>
          <w:tcPr>
            <w:tcW w:w="1012" w:type="dxa"/>
          </w:tcPr>
          <w:p w:rsidR="00A97923" w:rsidRPr="00D22018" w:rsidRDefault="00A97923" w:rsidP="007E7176">
            <w:pPr>
              <w:pStyle w:val="Geenafstand"/>
              <w:jc w:val="both"/>
              <w:rPr>
                <w:rStyle w:val="Zwaar"/>
                <w:b w:val="0"/>
                <w:szCs w:val="20"/>
              </w:rPr>
            </w:pPr>
            <w:r w:rsidRPr="00D22018">
              <w:rPr>
                <w:rStyle w:val="Zwaar"/>
                <w:b w:val="0"/>
                <w:szCs w:val="20"/>
              </w:rPr>
              <w:t>9u</w:t>
            </w:r>
          </w:p>
        </w:tc>
        <w:tc>
          <w:tcPr>
            <w:tcW w:w="2594" w:type="dxa"/>
          </w:tcPr>
          <w:p w:rsidR="00A97923" w:rsidRPr="00D22018" w:rsidRDefault="00A97923" w:rsidP="007E7176">
            <w:pPr>
              <w:pStyle w:val="Geenafstand"/>
              <w:jc w:val="both"/>
              <w:rPr>
                <w:rStyle w:val="Zwaar"/>
                <w:b w:val="0"/>
                <w:szCs w:val="20"/>
              </w:rPr>
            </w:pPr>
            <w:r w:rsidRPr="00D22018">
              <w:rPr>
                <w:rStyle w:val="Zwaar"/>
                <w:b w:val="0"/>
                <w:szCs w:val="20"/>
              </w:rPr>
              <w:t>Stuurgroep</w:t>
            </w:r>
          </w:p>
        </w:tc>
        <w:tc>
          <w:tcPr>
            <w:tcW w:w="3055" w:type="dxa"/>
          </w:tcPr>
          <w:p w:rsidR="00A97923" w:rsidRPr="00D22018" w:rsidRDefault="00A97923" w:rsidP="007E7176">
            <w:pPr>
              <w:jc w:val="both"/>
            </w:pPr>
            <w:r w:rsidRPr="00D22018">
              <w:rPr>
                <w:rStyle w:val="Zwaar"/>
                <w:b w:val="0"/>
                <w:szCs w:val="20"/>
              </w:rPr>
              <w:t xml:space="preserve">KBO Levensblij </w:t>
            </w:r>
          </w:p>
        </w:tc>
      </w:tr>
      <w:tr w:rsidR="00A97923" w:rsidRPr="00D22018" w:rsidTr="00C15B4D">
        <w:tc>
          <w:tcPr>
            <w:tcW w:w="2355" w:type="dxa"/>
          </w:tcPr>
          <w:p w:rsidR="00A97923" w:rsidRPr="00D22018" w:rsidRDefault="00A97923" w:rsidP="007E7176">
            <w:pPr>
              <w:pStyle w:val="Geenafstand"/>
              <w:jc w:val="both"/>
              <w:rPr>
                <w:rStyle w:val="Zwaar"/>
                <w:b w:val="0"/>
                <w:szCs w:val="20"/>
              </w:rPr>
            </w:pPr>
            <w:r w:rsidRPr="00D22018">
              <w:rPr>
                <w:rStyle w:val="Zwaar"/>
                <w:b w:val="0"/>
                <w:szCs w:val="20"/>
              </w:rPr>
              <w:t>7 mei 2018</w:t>
            </w:r>
          </w:p>
        </w:tc>
        <w:tc>
          <w:tcPr>
            <w:tcW w:w="1012" w:type="dxa"/>
          </w:tcPr>
          <w:p w:rsidR="00A97923" w:rsidRPr="00D22018" w:rsidRDefault="00A97923" w:rsidP="007E7176">
            <w:pPr>
              <w:pStyle w:val="Geenafstand"/>
              <w:jc w:val="both"/>
              <w:rPr>
                <w:rStyle w:val="Zwaar"/>
                <w:b w:val="0"/>
                <w:szCs w:val="20"/>
              </w:rPr>
            </w:pPr>
            <w:r w:rsidRPr="00D22018">
              <w:rPr>
                <w:rStyle w:val="Zwaar"/>
                <w:b w:val="0"/>
                <w:szCs w:val="20"/>
              </w:rPr>
              <w:t>9u</w:t>
            </w:r>
          </w:p>
        </w:tc>
        <w:tc>
          <w:tcPr>
            <w:tcW w:w="2594" w:type="dxa"/>
          </w:tcPr>
          <w:p w:rsidR="00A97923" w:rsidRPr="00D22018" w:rsidRDefault="00A97923" w:rsidP="007E7176">
            <w:pPr>
              <w:pStyle w:val="Geenafstand"/>
              <w:jc w:val="both"/>
              <w:rPr>
                <w:rStyle w:val="Zwaar"/>
                <w:b w:val="0"/>
                <w:szCs w:val="20"/>
              </w:rPr>
            </w:pPr>
            <w:r w:rsidRPr="00D22018">
              <w:rPr>
                <w:rStyle w:val="Zwaar"/>
                <w:b w:val="0"/>
                <w:szCs w:val="20"/>
              </w:rPr>
              <w:t>Stuurgroep</w:t>
            </w:r>
          </w:p>
        </w:tc>
        <w:tc>
          <w:tcPr>
            <w:tcW w:w="3055" w:type="dxa"/>
          </w:tcPr>
          <w:p w:rsidR="00A97923" w:rsidRPr="00D22018" w:rsidRDefault="00A97923" w:rsidP="007E7176">
            <w:pPr>
              <w:pStyle w:val="Geenafstand"/>
              <w:jc w:val="both"/>
              <w:rPr>
                <w:rStyle w:val="Zwaar"/>
                <w:b w:val="0"/>
                <w:szCs w:val="20"/>
              </w:rPr>
            </w:pPr>
            <w:r w:rsidRPr="00D22018">
              <w:rPr>
                <w:rStyle w:val="Zwaar"/>
                <w:b w:val="0"/>
                <w:szCs w:val="20"/>
              </w:rPr>
              <w:t>KBO Levensblij</w:t>
            </w:r>
          </w:p>
        </w:tc>
      </w:tr>
      <w:tr w:rsidR="00C15B4D" w:rsidRPr="00D22018" w:rsidTr="00C15B4D">
        <w:tc>
          <w:tcPr>
            <w:tcW w:w="2355" w:type="dxa"/>
          </w:tcPr>
          <w:p w:rsidR="00C15B4D" w:rsidRPr="00D22018" w:rsidRDefault="00C15B4D" w:rsidP="007E7176">
            <w:pPr>
              <w:pStyle w:val="Geenafstand"/>
              <w:jc w:val="both"/>
              <w:rPr>
                <w:rStyle w:val="Zwaar"/>
                <w:b w:val="0"/>
                <w:szCs w:val="20"/>
              </w:rPr>
            </w:pPr>
            <w:r w:rsidRPr="00D22018">
              <w:rPr>
                <w:rStyle w:val="Zwaar"/>
                <w:b w:val="0"/>
                <w:szCs w:val="20"/>
              </w:rPr>
              <w:t>17 mei 2018</w:t>
            </w:r>
          </w:p>
        </w:tc>
        <w:tc>
          <w:tcPr>
            <w:tcW w:w="1012" w:type="dxa"/>
          </w:tcPr>
          <w:p w:rsidR="00C15B4D" w:rsidRPr="00D22018" w:rsidRDefault="00C15B4D" w:rsidP="007E7176">
            <w:pPr>
              <w:pStyle w:val="Geenafstand"/>
              <w:jc w:val="both"/>
              <w:rPr>
                <w:rStyle w:val="Zwaar"/>
                <w:b w:val="0"/>
                <w:szCs w:val="20"/>
              </w:rPr>
            </w:pPr>
            <w:r w:rsidRPr="00D22018">
              <w:rPr>
                <w:rStyle w:val="Zwaar"/>
                <w:b w:val="0"/>
                <w:szCs w:val="20"/>
              </w:rPr>
              <w:t>20u</w:t>
            </w:r>
          </w:p>
        </w:tc>
        <w:tc>
          <w:tcPr>
            <w:tcW w:w="2594" w:type="dxa"/>
          </w:tcPr>
          <w:p w:rsidR="00C15B4D" w:rsidRPr="00D22018" w:rsidRDefault="00C15B4D" w:rsidP="007E7176">
            <w:pPr>
              <w:pStyle w:val="Geenafstand"/>
              <w:jc w:val="both"/>
              <w:rPr>
                <w:rStyle w:val="Zwaar"/>
                <w:b w:val="0"/>
                <w:szCs w:val="20"/>
              </w:rPr>
            </w:pPr>
            <w:r w:rsidRPr="00D22018">
              <w:rPr>
                <w:rStyle w:val="Zwaar"/>
                <w:b w:val="0"/>
                <w:szCs w:val="20"/>
              </w:rPr>
              <w:t>Algemene Vergadering</w:t>
            </w:r>
          </w:p>
        </w:tc>
        <w:tc>
          <w:tcPr>
            <w:tcW w:w="3055" w:type="dxa"/>
          </w:tcPr>
          <w:p w:rsidR="00C15B4D" w:rsidRPr="00D22018" w:rsidRDefault="00C15B4D" w:rsidP="007E7176">
            <w:pPr>
              <w:pStyle w:val="Geenafstand"/>
              <w:jc w:val="both"/>
              <w:rPr>
                <w:rStyle w:val="Zwaar"/>
                <w:b w:val="0"/>
                <w:szCs w:val="20"/>
              </w:rPr>
            </w:pPr>
            <w:r w:rsidRPr="00D22018">
              <w:rPr>
                <w:rStyle w:val="Zwaar"/>
                <w:b w:val="0"/>
                <w:szCs w:val="20"/>
              </w:rPr>
              <w:t>Sociaal Huis</w:t>
            </w:r>
          </w:p>
        </w:tc>
      </w:tr>
    </w:tbl>
    <w:p w:rsidR="00A97923" w:rsidRPr="00160657" w:rsidRDefault="00A97923" w:rsidP="00A97923">
      <w:pPr>
        <w:pStyle w:val="Geenafstand"/>
        <w:jc w:val="both"/>
        <w:rPr>
          <w:rStyle w:val="Zwaar"/>
          <w:rFonts w:cstheme="minorHAnsi"/>
          <w:b w:val="0"/>
          <w:sz w:val="20"/>
          <w:szCs w:val="20"/>
        </w:rPr>
      </w:pPr>
    </w:p>
    <w:p w:rsidR="00A97923" w:rsidRPr="00160657" w:rsidRDefault="00A97923" w:rsidP="00A97923">
      <w:pPr>
        <w:pStyle w:val="Geenafstand"/>
        <w:jc w:val="both"/>
        <w:rPr>
          <w:rStyle w:val="Zwaar"/>
          <w:rFonts w:cstheme="minorHAnsi"/>
          <w:b w:val="0"/>
          <w:sz w:val="20"/>
          <w:szCs w:val="20"/>
        </w:rPr>
      </w:pPr>
    </w:p>
    <w:p w:rsidR="00A97923" w:rsidRPr="00160657" w:rsidRDefault="00A97923" w:rsidP="00A97923">
      <w:pPr>
        <w:shd w:val="clear" w:color="auto" w:fill="BFBFBF" w:themeFill="background1" w:themeFillShade="BF"/>
        <w:tabs>
          <w:tab w:val="left" w:pos="709"/>
        </w:tabs>
        <w:spacing w:line="276" w:lineRule="auto"/>
        <w:jc w:val="both"/>
        <w:rPr>
          <w:b/>
          <w:sz w:val="20"/>
          <w:szCs w:val="20"/>
        </w:rPr>
      </w:pPr>
      <w:r w:rsidRPr="00160657">
        <w:rPr>
          <w:rFonts w:cstheme="minorHAnsi"/>
          <w:b/>
          <w:sz w:val="20"/>
          <w:szCs w:val="20"/>
        </w:rPr>
        <w:t>Agenda</w:t>
      </w:r>
    </w:p>
    <w:p w:rsidR="00A97923" w:rsidRPr="00160657" w:rsidRDefault="00A97923" w:rsidP="00A97923">
      <w:pPr>
        <w:pStyle w:val="Geenafstand"/>
        <w:jc w:val="both"/>
        <w:rPr>
          <w:rStyle w:val="Zwaar"/>
          <w:sz w:val="20"/>
          <w:szCs w:val="20"/>
        </w:rPr>
      </w:pPr>
    </w:p>
    <w:p w:rsidR="00622B59" w:rsidRDefault="00622B59" w:rsidP="00C15B4D">
      <w:pPr>
        <w:pStyle w:val="Lijstalinea"/>
        <w:numPr>
          <w:ilvl w:val="0"/>
          <w:numId w:val="14"/>
        </w:numPr>
        <w:spacing w:line="254" w:lineRule="auto"/>
      </w:pPr>
      <w:r>
        <w:t>Goedkeuring vorig verslag</w:t>
      </w:r>
    </w:p>
    <w:p w:rsidR="00C15B4D" w:rsidRDefault="00C15B4D" w:rsidP="00C15B4D">
      <w:pPr>
        <w:pStyle w:val="Lijstalinea"/>
        <w:numPr>
          <w:ilvl w:val="0"/>
          <w:numId w:val="14"/>
        </w:numPr>
        <w:spacing w:line="254" w:lineRule="auto"/>
      </w:pPr>
      <w:r>
        <w:t>Inschrijvingsbeleid</w:t>
      </w:r>
    </w:p>
    <w:p w:rsidR="00C15B4D" w:rsidRDefault="00C15B4D" w:rsidP="00C15B4D">
      <w:pPr>
        <w:pStyle w:val="Lijstalinea"/>
        <w:numPr>
          <w:ilvl w:val="0"/>
          <w:numId w:val="14"/>
        </w:numPr>
        <w:spacing w:line="254" w:lineRule="auto"/>
      </w:pPr>
      <w:r>
        <w:lastRenderedPageBreak/>
        <w:t>Relatieve aanwezigheid en sociale mix</w:t>
      </w:r>
    </w:p>
    <w:p w:rsidR="004252E5" w:rsidRDefault="004252E5" w:rsidP="00C15B4D">
      <w:pPr>
        <w:pStyle w:val="Lijstalinea"/>
        <w:numPr>
          <w:ilvl w:val="0"/>
          <w:numId w:val="14"/>
        </w:numPr>
        <w:spacing w:line="254" w:lineRule="auto"/>
      </w:pPr>
      <w:r>
        <w:t>Terugkoppeling Oudenaarde Onderwijsraad (OOR)</w:t>
      </w:r>
    </w:p>
    <w:p w:rsidR="00C15B4D" w:rsidRDefault="00C15B4D" w:rsidP="00024405">
      <w:pPr>
        <w:pStyle w:val="Lijstalinea"/>
        <w:numPr>
          <w:ilvl w:val="0"/>
          <w:numId w:val="14"/>
        </w:numPr>
        <w:spacing w:line="254" w:lineRule="auto"/>
      </w:pPr>
      <w:r>
        <w:t xml:space="preserve">Huisvestingsprojecten en capaciteit </w:t>
      </w:r>
    </w:p>
    <w:p w:rsidR="00C15B4D" w:rsidRPr="00852711" w:rsidRDefault="00C15B4D" w:rsidP="00C15B4D">
      <w:pPr>
        <w:pStyle w:val="Lijstalinea"/>
        <w:numPr>
          <w:ilvl w:val="0"/>
          <w:numId w:val="14"/>
        </w:numPr>
        <w:spacing w:after="0" w:line="240" w:lineRule="auto"/>
        <w:jc w:val="both"/>
        <w:rPr>
          <w:rFonts w:eastAsia="Times New Roman"/>
        </w:rPr>
      </w:pPr>
      <w:r w:rsidRPr="00852711">
        <w:rPr>
          <w:rFonts w:eastAsia="Times New Roman"/>
        </w:rPr>
        <w:t>Terugkoppeling spijbeloverleg</w:t>
      </w:r>
    </w:p>
    <w:p w:rsidR="00C15B4D" w:rsidRDefault="00C15B4D" w:rsidP="00C15B4D">
      <w:pPr>
        <w:pStyle w:val="Lijstalinea"/>
        <w:numPr>
          <w:ilvl w:val="0"/>
          <w:numId w:val="14"/>
        </w:numPr>
        <w:spacing w:line="254" w:lineRule="auto"/>
      </w:pPr>
      <w:r>
        <w:t>Niet-ingeschreven kleuters</w:t>
      </w:r>
    </w:p>
    <w:p w:rsidR="00C15B4D" w:rsidRDefault="00C15B4D" w:rsidP="00C15B4D">
      <w:pPr>
        <w:pStyle w:val="Lijstalinea"/>
        <w:numPr>
          <w:ilvl w:val="0"/>
          <w:numId w:val="14"/>
        </w:numPr>
        <w:spacing w:line="254" w:lineRule="auto"/>
      </w:pPr>
      <w:r>
        <w:t>Algemene Vergadering</w:t>
      </w:r>
    </w:p>
    <w:p w:rsidR="00C15B4D" w:rsidRDefault="00C15B4D" w:rsidP="00C15B4D">
      <w:pPr>
        <w:pStyle w:val="Lijstalinea"/>
        <w:numPr>
          <w:ilvl w:val="0"/>
          <w:numId w:val="14"/>
        </w:numPr>
        <w:spacing w:line="254" w:lineRule="auto"/>
      </w:pPr>
      <w:r>
        <w:t>Varia</w:t>
      </w:r>
    </w:p>
    <w:p w:rsidR="00A97923" w:rsidRDefault="00A97923" w:rsidP="00A97923">
      <w:pPr>
        <w:jc w:val="both"/>
      </w:pPr>
    </w:p>
    <w:p w:rsidR="00A97923" w:rsidRPr="00160657" w:rsidRDefault="00A97923" w:rsidP="00A97923">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Verslag</w:t>
      </w:r>
    </w:p>
    <w:p w:rsidR="00A97923" w:rsidRPr="00160657" w:rsidRDefault="00A97923" w:rsidP="00A97923">
      <w:pPr>
        <w:spacing w:line="276" w:lineRule="auto"/>
        <w:jc w:val="both"/>
        <w:rPr>
          <w:rFonts w:cstheme="minorHAnsi"/>
          <w:sz w:val="20"/>
          <w:szCs w:val="20"/>
        </w:rPr>
      </w:pPr>
    </w:p>
    <w:p w:rsidR="00A97923" w:rsidRPr="00160657" w:rsidRDefault="00A97923" w:rsidP="00A97923">
      <w:pPr>
        <w:pStyle w:val="Lijstalinea"/>
        <w:numPr>
          <w:ilvl w:val="0"/>
          <w:numId w:val="2"/>
        </w:numPr>
        <w:shd w:val="clear" w:color="auto" w:fill="F2F2F2" w:themeFill="background1" w:themeFillShade="F2"/>
        <w:spacing w:after="0" w:line="276" w:lineRule="auto"/>
        <w:jc w:val="both"/>
        <w:rPr>
          <w:rFonts w:cstheme="minorHAnsi"/>
          <w:sz w:val="20"/>
          <w:szCs w:val="20"/>
        </w:rPr>
      </w:pPr>
      <w:r w:rsidRPr="00160657">
        <w:rPr>
          <w:rFonts w:cstheme="minorHAnsi"/>
          <w:sz w:val="20"/>
          <w:szCs w:val="20"/>
        </w:rPr>
        <w:t>Goedkeuring vorig verslag</w:t>
      </w:r>
    </w:p>
    <w:p w:rsidR="00A97923" w:rsidRPr="00160657" w:rsidRDefault="00A97923" w:rsidP="00A97923">
      <w:pPr>
        <w:pStyle w:val="Geenafstand"/>
        <w:jc w:val="both"/>
        <w:rPr>
          <w:sz w:val="20"/>
          <w:szCs w:val="20"/>
        </w:rPr>
      </w:pPr>
    </w:p>
    <w:p w:rsidR="00A97923" w:rsidRDefault="00A97923" w:rsidP="00A97923">
      <w:pPr>
        <w:spacing w:line="276" w:lineRule="auto"/>
        <w:jc w:val="both"/>
        <w:rPr>
          <w:rFonts w:cstheme="minorHAnsi"/>
          <w:sz w:val="20"/>
          <w:szCs w:val="20"/>
        </w:rPr>
      </w:pPr>
      <w:r w:rsidRPr="00160657">
        <w:rPr>
          <w:rFonts w:cstheme="minorHAnsi"/>
          <w:sz w:val="20"/>
          <w:szCs w:val="20"/>
        </w:rPr>
        <w:t xml:space="preserve">Er zijn geen opmerkingen bij het verslag van de stuurgroep van </w:t>
      </w:r>
      <w:r w:rsidR="00C15B4D">
        <w:rPr>
          <w:rFonts w:cstheme="minorHAnsi"/>
          <w:sz w:val="20"/>
          <w:szCs w:val="20"/>
        </w:rPr>
        <w:t>27</w:t>
      </w:r>
      <w:r>
        <w:rPr>
          <w:rFonts w:cstheme="minorHAnsi"/>
          <w:sz w:val="20"/>
          <w:szCs w:val="20"/>
        </w:rPr>
        <w:t xml:space="preserve"> </w:t>
      </w:r>
      <w:r w:rsidR="00C15B4D">
        <w:rPr>
          <w:rFonts w:cstheme="minorHAnsi"/>
          <w:sz w:val="20"/>
          <w:szCs w:val="20"/>
        </w:rPr>
        <w:t>november</w:t>
      </w:r>
      <w:r w:rsidRPr="00160657">
        <w:rPr>
          <w:rFonts w:cstheme="minorHAnsi"/>
          <w:sz w:val="20"/>
          <w:szCs w:val="20"/>
        </w:rPr>
        <w:t xml:space="preserve"> 2017. Het verslag is bijgevolg goedgekeurd.</w:t>
      </w:r>
    </w:p>
    <w:p w:rsidR="00A97923" w:rsidRDefault="00A97923" w:rsidP="00A97923">
      <w:pPr>
        <w:spacing w:line="276" w:lineRule="auto"/>
        <w:jc w:val="both"/>
        <w:rPr>
          <w:rFonts w:cstheme="minorHAnsi"/>
          <w:sz w:val="20"/>
          <w:szCs w:val="20"/>
        </w:rPr>
      </w:pPr>
    </w:p>
    <w:p w:rsidR="00465AAB" w:rsidRDefault="00465AAB" w:rsidP="00465AAB">
      <w:pPr>
        <w:pStyle w:val="Lijstalinea"/>
        <w:numPr>
          <w:ilvl w:val="0"/>
          <w:numId w:val="2"/>
        </w:numPr>
        <w:shd w:val="clear" w:color="auto" w:fill="F2F2F2" w:themeFill="background1" w:themeFillShade="F2"/>
        <w:spacing w:line="254" w:lineRule="auto"/>
      </w:pPr>
      <w:r>
        <w:t>Inschrijvingsbeleid</w:t>
      </w:r>
    </w:p>
    <w:p w:rsidR="00DD52A3" w:rsidRPr="00DD52A3" w:rsidRDefault="00DD52A3" w:rsidP="00DD52A3">
      <w:pPr>
        <w:spacing w:line="276" w:lineRule="auto"/>
        <w:jc w:val="both"/>
        <w:rPr>
          <w:rFonts w:cstheme="minorHAnsi"/>
          <w:sz w:val="20"/>
          <w:szCs w:val="20"/>
        </w:rPr>
      </w:pPr>
    </w:p>
    <w:p w:rsidR="00DD52A3" w:rsidRDefault="00DD52A3" w:rsidP="00DD52A3">
      <w:pPr>
        <w:pStyle w:val="Lijstalinea"/>
        <w:numPr>
          <w:ilvl w:val="1"/>
          <w:numId w:val="2"/>
        </w:numPr>
        <w:spacing w:line="276" w:lineRule="auto"/>
        <w:jc w:val="both"/>
        <w:rPr>
          <w:rFonts w:cstheme="minorHAnsi"/>
          <w:sz w:val="20"/>
          <w:szCs w:val="20"/>
        </w:rPr>
      </w:pPr>
      <w:r w:rsidRPr="00DD52A3">
        <w:rPr>
          <w:rFonts w:cstheme="minorHAnsi"/>
          <w:sz w:val="20"/>
          <w:szCs w:val="20"/>
        </w:rPr>
        <w:t>De centrale aanmeldingsperiode begint</w:t>
      </w:r>
      <w:r>
        <w:rPr>
          <w:rFonts w:cstheme="minorHAnsi"/>
          <w:sz w:val="20"/>
          <w:szCs w:val="20"/>
        </w:rPr>
        <w:t xml:space="preserve"> op 1</w:t>
      </w:r>
      <w:r w:rsidR="00425B3A">
        <w:rPr>
          <w:rFonts w:cstheme="minorHAnsi"/>
          <w:sz w:val="20"/>
          <w:szCs w:val="20"/>
        </w:rPr>
        <w:t xml:space="preserve"> februari. Met het oog hierop we</w:t>
      </w:r>
      <w:r>
        <w:rPr>
          <w:rFonts w:cstheme="minorHAnsi"/>
          <w:sz w:val="20"/>
          <w:szCs w:val="20"/>
        </w:rPr>
        <w:t>rden opnieuw de vrije plaatsen opgevr</w:t>
      </w:r>
      <w:r w:rsidR="001D6AF4">
        <w:rPr>
          <w:rFonts w:cstheme="minorHAnsi"/>
          <w:sz w:val="20"/>
          <w:szCs w:val="20"/>
        </w:rPr>
        <w:t>aagd tegen uiterlijk 31 januari, voor publicatie op de website</w:t>
      </w:r>
    </w:p>
    <w:p w:rsidR="00DD52A3" w:rsidRDefault="00DD52A3" w:rsidP="00DD52A3">
      <w:pPr>
        <w:pStyle w:val="Lijstalinea"/>
        <w:numPr>
          <w:ilvl w:val="1"/>
          <w:numId w:val="2"/>
        </w:numPr>
        <w:spacing w:line="276" w:lineRule="auto"/>
        <w:jc w:val="both"/>
        <w:rPr>
          <w:rFonts w:cstheme="minorHAnsi"/>
          <w:sz w:val="20"/>
          <w:szCs w:val="20"/>
        </w:rPr>
      </w:pPr>
      <w:r>
        <w:rPr>
          <w:rFonts w:cstheme="minorHAnsi"/>
          <w:sz w:val="20"/>
          <w:szCs w:val="20"/>
        </w:rPr>
        <w:t xml:space="preserve">Op de website is een nieuwe pagina toegevoegd: </w:t>
      </w:r>
      <w:proofErr w:type="spellStart"/>
      <w:r>
        <w:rPr>
          <w:rFonts w:cstheme="minorHAnsi"/>
          <w:sz w:val="20"/>
          <w:szCs w:val="20"/>
        </w:rPr>
        <w:t>veelgestelde</w:t>
      </w:r>
      <w:proofErr w:type="spellEnd"/>
      <w:r>
        <w:rPr>
          <w:rFonts w:cstheme="minorHAnsi"/>
          <w:sz w:val="20"/>
          <w:szCs w:val="20"/>
        </w:rPr>
        <w:t xml:space="preserve"> vragen. Langs die weg </w:t>
      </w:r>
      <w:r w:rsidR="00425B3A">
        <w:rPr>
          <w:rFonts w:cstheme="minorHAnsi"/>
          <w:sz w:val="20"/>
          <w:szCs w:val="20"/>
        </w:rPr>
        <w:t xml:space="preserve">kunnen ouders met een specifieke vraag vlugger aan </w:t>
      </w:r>
      <w:r w:rsidR="00DB222D">
        <w:rPr>
          <w:rFonts w:cstheme="minorHAnsi"/>
          <w:sz w:val="20"/>
          <w:szCs w:val="20"/>
        </w:rPr>
        <w:t>info gerake</w:t>
      </w:r>
      <w:r w:rsidR="00425B3A">
        <w:rPr>
          <w:rFonts w:cstheme="minorHAnsi"/>
          <w:sz w:val="20"/>
          <w:szCs w:val="20"/>
        </w:rPr>
        <w:t>n.</w:t>
      </w:r>
    </w:p>
    <w:p w:rsidR="00DB222D" w:rsidRDefault="00DB222D" w:rsidP="00DD52A3">
      <w:pPr>
        <w:pStyle w:val="Lijstalinea"/>
        <w:numPr>
          <w:ilvl w:val="1"/>
          <w:numId w:val="2"/>
        </w:numPr>
        <w:spacing w:line="276" w:lineRule="auto"/>
        <w:jc w:val="both"/>
        <w:rPr>
          <w:rFonts w:cstheme="minorHAnsi"/>
          <w:sz w:val="20"/>
          <w:szCs w:val="20"/>
        </w:rPr>
      </w:pPr>
      <w:r>
        <w:rPr>
          <w:rFonts w:cstheme="minorHAnsi"/>
          <w:sz w:val="20"/>
          <w:szCs w:val="20"/>
        </w:rPr>
        <w:t>Het is niet duidelijk in hoeverre de scholen bij de inschrijving de ouders controleren op de correctheid van de ingevoerde informatie bij aanmelding. Controle van het domicilie-adres via het kleefbriefje, via een document ter bewijs van aanstaande verhuis…? Anderzijds horen wij tot nu toe van de scholen nooit klachten of twijfels. In het geval van verhuis hebben ouders meestal contact gehad met de LOP-deskundige en zijn ze zeker op de hoogte van de regels.</w:t>
      </w:r>
    </w:p>
    <w:p w:rsidR="00DB222D" w:rsidRPr="00DD52A3" w:rsidRDefault="00DB222D" w:rsidP="00DD52A3">
      <w:pPr>
        <w:pStyle w:val="Lijstalinea"/>
        <w:numPr>
          <w:ilvl w:val="1"/>
          <w:numId w:val="2"/>
        </w:numPr>
        <w:spacing w:line="276" w:lineRule="auto"/>
        <w:jc w:val="both"/>
        <w:rPr>
          <w:rFonts w:cstheme="minorHAnsi"/>
          <w:sz w:val="20"/>
          <w:szCs w:val="20"/>
        </w:rPr>
      </w:pPr>
      <w:r>
        <w:rPr>
          <w:rFonts w:cstheme="minorHAnsi"/>
          <w:sz w:val="20"/>
          <w:szCs w:val="20"/>
        </w:rPr>
        <w:t>We behouden het systeem waarbij ouders van kinderen die geweigerd zijn wegens plaatsgebrek hun weigeringsdocument nog eens moeten laten valideren door de school.</w:t>
      </w:r>
    </w:p>
    <w:p w:rsidR="00DD52A3" w:rsidRPr="00DD52A3" w:rsidRDefault="00DD52A3" w:rsidP="00DD52A3">
      <w:pPr>
        <w:spacing w:line="276" w:lineRule="auto"/>
        <w:jc w:val="both"/>
        <w:rPr>
          <w:rFonts w:cstheme="minorHAnsi"/>
          <w:sz w:val="20"/>
          <w:szCs w:val="20"/>
        </w:rPr>
      </w:pPr>
    </w:p>
    <w:p w:rsidR="00521528" w:rsidRDefault="00521528" w:rsidP="00521528">
      <w:pPr>
        <w:pStyle w:val="Lijstalinea"/>
        <w:numPr>
          <w:ilvl w:val="0"/>
          <w:numId w:val="2"/>
        </w:numPr>
        <w:shd w:val="clear" w:color="auto" w:fill="F2F2F2" w:themeFill="background1" w:themeFillShade="F2"/>
        <w:spacing w:line="254" w:lineRule="auto"/>
      </w:pPr>
      <w:r>
        <w:t>Relatieve aanwezigheid en sociale mix</w:t>
      </w:r>
    </w:p>
    <w:p w:rsidR="00DD52A3" w:rsidRDefault="00DD52A3" w:rsidP="00A97923">
      <w:pPr>
        <w:spacing w:line="276" w:lineRule="auto"/>
        <w:jc w:val="both"/>
        <w:rPr>
          <w:rFonts w:cstheme="minorHAnsi"/>
          <w:sz w:val="20"/>
          <w:szCs w:val="20"/>
        </w:rPr>
      </w:pPr>
    </w:p>
    <w:p w:rsidR="00521528" w:rsidRDefault="00521528" w:rsidP="00A97923">
      <w:pPr>
        <w:spacing w:line="276" w:lineRule="auto"/>
        <w:jc w:val="both"/>
        <w:rPr>
          <w:rFonts w:cstheme="minorHAnsi"/>
          <w:sz w:val="20"/>
          <w:szCs w:val="20"/>
        </w:rPr>
      </w:pPr>
      <w:r>
        <w:rPr>
          <w:rFonts w:cstheme="minorHAnsi"/>
          <w:sz w:val="20"/>
          <w:szCs w:val="20"/>
        </w:rPr>
        <w:t>Tijdens de vorige stuurgroep werd de vraag gesteld naar de resultaten die (sedert de invoering van de aanmeldingsprocedure) behaald zijn op het gebied van sociale mix.</w:t>
      </w:r>
    </w:p>
    <w:p w:rsidR="00375F6B" w:rsidRDefault="002F0F7F" w:rsidP="00A97923">
      <w:pPr>
        <w:spacing w:line="276" w:lineRule="auto"/>
        <w:jc w:val="both"/>
        <w:rPr>
          <w:rFonts w:cstheme="minorHAnsi"/>
          <w:sz w:val="20"/>
          <w:szCs w:val="20"/>
        </w:rPr>
      </w:pPr>
      <w:r>
        <w:rPr>
          <w:rFonts w:cstheme="minorHAnsi"/>
          <w:sz w:val="20"/>
          <w:szCs w:val="20"/>
        </w:rPr>
        <w:t>Een onderzoek in 2017 door AGODI op basis van de bestaande databanken leerlingenkenmerken laat het volgende zien:</w:t>
      </w:r>
      <w:r w:rsidR="00521528">
        <w:rPr>
          <w:rFonts w:cstheme="minorHAnsi"/>
          <w:sz w:val="20"/>
          <w:szCs w:val="20"/>
        </w:rPr>
        <w:t xml:space="preserve"> </w:t>
      </w:r>
      <w:r>
        <w:rPr>
          <w:rFonts w:cstheme="minorHAnsi"/>
          <w:sz w:val="20"/>
          <w:szCs w:val="20"/>
        </w:rPr>
        <w:t>de sociale mix is over de periode 2008-2017 status quo gebleven o</w:t>
      </w:r>
      <w:r w:rsidR="0071089C">
        <w:rPr>
          <w:rFonts w:cstheme="minorHAnsi"/>
          <w:sz w:val="20"/>
          <w:szCs w:val="20"/>
        </w:rPr>
        <w:t>p</w:t>
      </w:r>
      <w:r>
        <w:rPr>
          <w:rFonts w:cstheme="minorHAnsi"/>
          <w:sz w:val="20"/>
          <w:szCs w:val="20"/>
        </w:rPr>
        <w:t xml:space="preserve"> de parameters schooltoelage en opleidingsniveau moeder, maar </w:t>
      </w:r>
      <w:r w:rsidR="0037693B">
        <w:rPr>
          <w:rFonts w:cstheme="minorHAnsi"/>
          <w:sz w:val="20"/>
          <w:szCs w:val="20"/>
        </w:rPr>
        <w:t xml:space="preserve">duidelijk </w:t>
      </w:r>
      <w:r w:rsidR="0071089C">
        <w:rPr>
          <w:rFonts w:cstheme="minorHAnsi"/>
          <w:sz w:val="20"/>
          <w:szCs w:val="20"/>
        </w:rPr>
        <w:t>verbeterd op de parameter thuistaal Nederlands.</w:t>
      </w:r>
      <w:r w:rsidR="00B625EC">
        <w:rPr>
          <w:rFonts w:cstheme="minorHAnsi"/>
          <w:sz w:val="20"/>
          <w:szCs w:val="20"/>
        </w:rPr>
        <w:t xml:space="preserve"> </w:t>
      </w:r>
      <w:r w:rsidR="003E4BAC">
        <w:rPr>
          <w:rFonts w:cstheme="minorHAnsi"/>
          <w:sz w:val="20"/>
          <w:szCs w:val="20"/>
        </w:rPr>
        <w:t>(zie bijlage 1)</w:t>
      </w:r>
    </w:p>
    <w:p w:rsidR="00375F6B" w:rsidRDefault="00375F6B" w:rsidP="00A97923">
      <w:pPr>
        <w:spacing w:line="276" w:lineRule="auto"/>
        <w:jc w:val="both"/>
        <w:rPr>
          <w:rFonts w:cstheme="minorHAnsi"/>
          <w:sz w:val="20"/>
          <w:szCs w:val="20"/>
        </w:rPr>
      </w:pPr>
      <w:r>
        <w:rPr>
          <w:rFonts w:cstheme="minorHAnsi"/>
          <w:sz w:val="20"/>
          <w:szCs w:val="20"/>
        </w:rPr>
        <w:t xml:space="preserve">We bekijken ook het histogram sociale mix </w:t>
      </w:r>
      <w:r w:rsidR="00A03BC3">
        <w:rPr>
          <w:rFonts w:cstheme="minorHAnsi"/>
          <w:sz w:val="20"/>
          <w:szCs w:val="20"/>
        </w:rPr>
        <w:t xml:space="preserve">(bijlage 2) </w:t>
      </w:r>
      <w:r>
        <w:rPr>
          <w:rFonts w:cstheme="minorHAnsi"/>
          <w:sz w:val="20"/>
          <w:szCs w:val="20"/>
        </w:rPr>
        <w:t>en de tabel met de evolutie sociale mix per vestigingsplaats</w:t>
      </w:r>
      <w:r w:rsidR="00A03BC3">
        <w:rPr>
          <w:rFonts w:cstheme="minorHAnsi"/>
          <w:sz w:val="20"/>
          <w:szCs w:val="20"/>
        </w:rPr>
        <w:t xml:space="preserve"> (bijlage 3)</w:t>
      </w:r>
      <w:r>
        <w:rPr>
          <w:rFonts w:cstheme="minorHAnsi"/>
          <w:sz w:val="20"/>
          <w:szCs w:val="20"/>
        </w:rPr>
        <w:t xml:space="preserve">. </w:t>
      </w:r>
      <w:r w:rsidR="008464CB">
        <w:rPr>
          <w:rFonts w:cstheme="minorHAnsi"/>
          <w:sz w:val="20"/>
          <w:szCs w:val="20"/>
        </w:rPr>
        <w:t xml:space="preserve">We zien dat de balans vrij goed is: 54% van de vestigingen wijkt minder dan 10% van het gemiddelde, en 85% minder dan 20%. De GO!-scholen hadden tot voor een aantal jaren uitgesproken het profiel meer GOK-leerlingen te hebben; dit is verminderd en anderzijds hebben een paar KBO-scholen in het centrum een duidelijke toename gekend. </w:t>
      </w:r>
    </w:p>
    <w:p w:rsidR="00375F6B" w:rsidRDefault="00CD593C" w:rsidP="00A97923">
      <w:pPr>
        <w:spacing w:line="276" w:lineRule="auto"/>
        <w:jc w:val="both"/>
        <w:rPr>
          <w:rFonts w:cstheme="minorHAnsi"/>
          <w:sz w:val="20"/>
          <w:szCs w:val="20"/>
        </w:rPr>
      </w:pPr>
      <w:r>
        <w:rPr>
          <w:rFonts w:cstheme="minorHAnsi"/>
          <w:sz w:val="20"/>
          <w:szCs w:val="20"/>
        </w:rPr>
        <w:lastRenderedPageBreak/>
        <w:t>De</w:t>
      </w:r>
      <w:r w:rsidR="0020673C">
        <w:rPr>
          <w:rFonts w:cstheme="minorHAnsi"/>
          <w:sz w:val="20"/>
          <w:szCs w:val="20"/>
        </w:rPr>
        <w:t>ze evoluties staan los van de</w:t>
      </w:r>
      <w:r>
        <w:rPr>
          <w:rFonts w:cstheme="minorHAnsi"/>
          <w:sz w:val="20"/>
          <w:szCs w:val="20"/>
        </w:rPr>
        <w:t xml:space="preserve"> aanmeldingsprocedure</w:t>
      </w:r>
      <w:r w:rsidR="0020673C">
        <w:rPr>
          <w:rFonts w:cstheme="minorHAnsi"/>
          <w:sz w:val="20"/>
          <w:szCs w:val="20"/>
        </w:rPr>
        <w:t>. Deze</w:t>
      </w:r>
      <w:r>
        <w:rPr>
          <w:rFonts w:cstheme="minorHAnsi"/>
          <w:sz w:val="20"/>
          <w:szCs w:val="20"/>
        </w:rPr>
        <w:t xml:space="preserve"> heeft geen of nauwelijks invloed op </w:t>
      </w:r>
      <w:r w:rsidR="00997F12">
        <w:rPr>
          <w:rFonts w:cstheme="minorHAnsi"/>
          <w:sz w:val="20"/>
          <w:szCs w:val="20"/>
        </w:rPr>
        <w:t>de sociale mix, o.a. omdat er maar in zeer weinig scholen plaatsgebrek optreedt.</w:t>
      </w:r>
    </w:p>
    <w:p w:rsidR="00481139" w:rsidRDefault="0020673C" w:rsidP="00481139">
      <w:pPr>
        <w:pStyle w:val="Geenafstand"/>
      </w:pPr>
      <w:r>
        <w:t>De gegevens relatieve aanwezigheid op 1 februari 2017</w:t>
      </w:r>
      <w:r w:rsidR="00FA7498">
        <w:t xml:space="preserve"> (zie bijlage 4)</w:t>
      </w:r>
      <w:r w:rsidR="00481139">
        <w:t xml:space="preserve">, meer bepaald de grafiek van de evolutie indicatorleerlingen 2011-2017, </w:t>
      </w:r>
      <w:r>
        <w:t xml:space="preserve"> bevestigen </w:t>
      </w:r>
      <w:r w:rsidR="00481139">
        <w:t xml:space="preserve">het </w:t>
      </w:r>
      <w:r>
        <w:t>bovenstaande</w:t>
      </w:r>
      <w:r w:rsidR="00481139">
        <w:t xml:space="preserve">: </w:t>
      </w:r>
    </w:p>
    <w:p w:rsidR="0020673C" w:rsidRDefault="00481139" w:rsidP="00481139">
      <w:pPr>
        <w:pStyle w:val="Geenafstand"/>
        <w:numPr>
          <w:ilvl w:val="0"/>
          <w:numId w:val="15"/>
        </w:numPr>
      </w:pPr>
      <w:r>
        <w:t>daling % indicatorleerlingen in de GO-scholen en de methodescholen</w:t>
      </w:r>
    </w:p>
    <w:p w:rsidR="00481139" w:rsidRDefault="00481139" w:rsidP="00481139">
      <w:pPr>
        <w:pStyle w:val="Geenafstand"/>
        <w:numPr>
          <w:ilvl w:val="0"/>
          <w:numId w:val="15"/>
        </w:numPr>
      </w:pPr>
      <w:r>
        <w:t>toename % indicatorleerlingen in KBO College</w:t>
      </w:r>
    </w:p>
    <w:p w:rsidR="00481139" w:rsidRDefault="00481139" w:rsidP="00481139">
      <w:pPr>
        <w:pStyle w:val="Geenafstand"/>
      </w:pPr>
    </w:p>
    <w:p w:rsidR="00481139" w:rsidRDefault="00481139" w:rsidP="00481139">
      <w:pPr>
        <w:pStyle w:val="Geenafstand"/>
      </w:pPr>
    </w:p>
    <w:p w:rsidR="00FB7118" w:rsidRDefault="00FB7118" w:rsidP="00FB7118">
      <w:pPr>
        <w:pStyle w:val="Lijstalinea"/>
        <w:numPr>
          <w:ilvl w:val="0"/>
          <w:numId w:val="2"/>
        </w:numPr>
        <w:shd w:val="clear" w:color="auto" w:fill="F2F2F2" w:themeFill="background1" w:themeFillShade="F2"/>
        <w:spacing w:line="254" w:lineRule="auto"/>
      </w:pPr>
      <w:r>
        <w:t xml:space="preserve">Terugkoppeling </w:t>
      </w:r>
      <w:proofErr w:type="spellStart"/>
      <w:r>
        <w:t>Oudenaard</w:t>
      </w:r>
      <w:r w:rsidR="0091241B">
        <w:t>s</w:t>
      </w:r>
      <w:r>
        <w:t>e</w:t>
      </w:r>
      <w:proofErr w:type="spellEnd"/>
      <w:r>
        <w:t xml:space="preserve"> Onderwijsraad (OOR)</w:t>
      </w:r>
    </w:p>
    <w:p w:rsidR="0091241B" w:rsidRDefault="0091241B" w:rsidP="00A97923">
      <w:pPr>
        <w:spacing w:line="276" w:lineRule="auto"/>
        <w:jc w:val="both"/>
        <w:rPr>
          <w:rFonts w:cstheme="minorHAnsi"/>
          <w:sz w:val="20"/>
          <w:szCs w:val="20"/>
        </w:rPr>
      </w:pPr>
    </w:p>
    <w:p w:rsidR="00997F12" w:rsidRDefault="0091241B" w:rsidP="00A97923">
      <w:pPr>
        <w:spacing w:line="276" w:lineRule="auto"/>
        <w:jc w:val="both"/>
        <w:rPr>
          <w:rFonts w:cstheme="minorHAnsi"/>
          <w:sz w:val="20"/>
          <w:szCs w:val="20"/>
        </w:rPr>
      </w:pPr>
      <w:r>
        <w:rPr>
          <w:rFonts w:cstheme="minorHAnsi"/>
          <w:sz w:val="20"/>
          <w:szCs w:val="20"/>
        </w:rPr>
        <w:t xml:space="preserve">Op 10 januari vond de eerste bijeenkomst plaats van de OOR. Een van de onderwerpen van gesprek was de inhoudelijke afstemming </w:t>
      </w:r>
      <w:r w:rsidR="00CF72E7">
        <w:rPr>
          <w:rFonts w:cstheme="minorHAnsi"/>
          <w:sz w:val="20"/>
          <w:szCs w:val="20"/>
        </w:rPr>
        <w:t>met het LOP: het LOP heeft betrekking op gelijke onderwijskansen, de OOR op alle andere beleidsaspecten, met specifieke aandacht voor de relatie met/ondersteuning door de stad. Bij overlappende thema’s zijn én LOP én OOR betrokken.</w:t>
      </w:r>
    </w:p>
    <w:p w:rsidR="00CF72E7" w:rsidRDefault="00CF72E7" w:rsidP="00A97923">
      <w:pPr>
        <w:spacing w:line="276" w:lineRule="auto"/>
        <w:jc w:val="both"/>
        <w:rPr>
          <w:rFonts w:cstheme="minorHAnsi"/>
          <w:sz w:val="20"/>
          <w:szCs w:val="20"/>
        </w:rPr>
      </w:pPr>
      <w:r>
        <w:rPr>
          <w:rFonts w:cstheme="minorHAnsi"/>
          <w:sz w:val="20"/>
          <w:szCs w:val="20"/>
        </w:rPr>
        <w:t xml:space="preserve">Voorzitter van de OOR is Annick </w:t>
      </w:r>
      <w:proofErr w:type="spellStart"/>
      <w:r>
        <w:rPr>
          <w:rFonts w:cstheme="minorHAnsi"/>
          <w:sz w:val="20"/>
          <w:szCs w:val="20"/>
        </w:rPr>
        <w:t>Dezutter</w:t>
      </w:r>
      <w:proofErr w:type="spellEnd"/>
      <w:r>
        <w:rPr>
          <w:rFonts w:cstheme="minorHAnsi"/>
          <w:sz w:val="20"/>
          <w:szCs w:val="20"/>
        </w:rPr>
        <w:t xml:space="preserve">, die in deze hoedanigheid ook lid wordt van het LOP (Algemene Vergadering en stuurgroep). Secretaris van de OOR is </w:t>
      </w:r>
      <w:proofErr w:type="spellStart"/>
      <w:r>
        <w:rPr>
          <w:rFonts w:cstheme="minorHAnsi"/>
          <w:sz w:val="20"/>
          <w:szCs w:val="20"/>
        </w:rPr>
        <w:t>Jessy</w:t>
      </w:r>
      <w:proofErr w:type="spellEnd"/>
      <w:r>
        <w:rPr>
          <w:rFonts w:cstheme="minorHAnsi"/>
          <w:sz w:val="20"/>
          <w:szCs w:val="20"/>
        </w:rPr>
        <w:t xml:space="preserve"> </w:t>
      </w:r>
      <w:proofErr w:type="spellStart"/>
      <w:r>
        <w:rPr>
          <w:rFonts w:cstheme="minorHAnsi"/>
          <w:sz w:val="20"/>
          <w:szCs w:val="20"/>
        </w:rPr>
        <w:t>Wandels</w:t>
      </w:r>
      <w:proofErr w:type="spellEnd"/>
      <w:r>
        <w:rPr>
          <w:rFonts w:cstheme="minorHAnsi"/>
          <w:sz w:val="20"/>
          <w:szCs w:val="20"/>
        </w:rPr>
        <w:t>.</w:t>
      </w:r>
    </w:p>
    <w:p w:rsidR="00CF72E7" w:rsidRDefault="00CF72E7" w:rsidP="00A97923">
      <w:pPr>
        <w:spacing w:line="276" w:lineRule="auto"/>
        <w:jc w:val="both"/>
        <w:rPr>
          <w:rFonts w:cstheme="minorHAnsi"/>
          <w:sz w:val="20"/>
          <w:szCs w:val="20"/>
        </w:rPr>
      </w:pPr>
    </w:p>
    <w:p w:rsidR="00CF72E7" w:rsidRDefault="00CF72E7" w:rsidP="00CF72E7">
      <w:pPr>
        <w:pStyle w:val="Lijstalinea"/>
        <w:numPr>
          <w:ilvl w:val="0"/>
          <w:numId w:val="2"/>
        </w:numPr>
        <w:shd w:val="clear" w:color="auto" w:fill="F2F2F2" w:themeFill="background1" w:themeFillShade="F2"/>
        <w:spacing w:line="254" w:lineRule="auto"/>
      </w:pPr>
      <w:r>
        <w:t>Huisvestingsprojecten en capaciteit</w:t>
      </w:r>
    </w:p>
    <w:p w:rsidR="00505818" w:rsidRDefault="00505818" w:rsidP="00A97923">
      <w:pPr>
        <w:spacing w:line="276" w:lineRule="auto"/>
        <w:jc w:val="both"/>
        <w:rPr>
          <w:rFonts w:cstheme="minorHAnsi"/>
          <w:sz w:val="20"/>
          <w:szCs w:val="20"/>
        </w:rPr>
      </w:pPr>
    </w:p>
    <w:p w:rsidR="00CF72E7" w:rsidRDefault="00505818" w:rsidP="00A97923">
      <w:pPr>
        <w:spacing w:line="276" w:lineRule="auto"/>
        <w:jc w:val="both"/>
        <w:rPr>
          <w:rFonts w:cstheme="minorHAnsi"/>
          <w:sz w:val="20"/>
          <w:szCs w:val="20"/>
        </w:rPr>
      </w:pPr>
      <w:r>
        <w:rPr>
          <w:rFonts w:cstheme="minorHAnsi"/>
          <w:sz w:val="20"/>
          <w:szCs w:val="20"/>
        </w:rPr>
        <w:t>In de komende jaren staan zijn in (groot-)Oudenaarde diverse grote huisvestingsprojecten gepland. Vo</w:t>
      </w:r>
      <w:r w:rsidR="00BF2E76">
        <w:rPr>
          <w:rFonts w:cstheme="minorHAnsi"/>
          <w:sz w:val="20"/>
          <w:szCs w:val="20"/>
        </w:rPr>
        <w:t>orlopig is nog weinig concreet, maar voortdurende opvolging is geboden om te vermijden dat we voor echte capaciteitsproblemen komen te staan</w:t>
      </w:r>
      <w:r w:rsidR="00353441">
        <w:rPr>
          <w:rFonts w:cstheme="minorHAnsi"/>
          <w:sz w:val="20"/>
          <w:szCs w:val="20"/>
        </w:rPr>
        <w:t>.</w:t>
      </w:r>
    </w:p>
    <w:p w:rsidR="00BF2E76" w:rsidRDefault="00353441" w:rsidP="00A97923">
      <w:pPr>
        <w:spacing w:line="276" w:lineRule="auto"/>
        <w:jc w:val="both"/>
        <w:rPr>
          <w:rFonts w:cstheme="minorHAnsi"/>
          <w:sz w:val="20"/>
          <w:szCs w:val="20"/>
        </w:rPr>
      </w:pPr>
      <w:r>
        <w:rPr>
          <w:rFonts w:cstheme="minorHAnsi"/>
          <w:sz w:val="20"/>
          <w:szCs w:val="20"/>
        </w:rPr>
        <w:t>Een gesprek met Maaike Bockstal, diensthoofd ruimtelijke ordening Oude</w:t>
      </w:r>
      <w:r w:rsidR="00A43B97">
        <w:rPr>
          <w:rFonts w:cstheme="minorHAnsi"/>
          <w:sz w:val="20"/>
          <w:szCs w:val="20"/>
        </w:rPr>
        <w:t xml:space="preserve">naarde, leverde alvast volgende, voorlopige </w:t>
      </w:r>
      <w:r>
        <w:rPr>
          <w:rFonts w:cstheme="minorHAnsi"/>
          <w:sz w:val="20"/>
          <w:szCs w:val="20"/>
        </w:rPr>
        <w:t>informatie op:</w:t>
      </w:r>
    </w:p>
    <w:tbl>
      <w:tblPr>
        <w:tblStyle w:val="Tabelraster"/>
        <w:tblW w:w="0" w:type="auto"/>
        <w:tblLook w:val="04A0" w:firstRow="1" w:lastRow="0" w:firstColumn="1" w:lastColumn="0" w:noHBand="0" w:noVBand="1"/>
      </w:tblPr>
      <w:tblGrid>
        <w:gridCol w:w="1419"/>
        <w:gridCol w:w="1563"/>
        <w:gridCol w:w="1586"/>
        <w:gridCol w:w="1437"/>
        <w:gridCol w:w="3011"/>
      </w:tblGrid>
      <w:tr w:rsidR="00353441" w:rsidRPr="00353441" w:rsidTr="00352DE0">
        <w:tc>
          <w:tcPr>
            <w:tcW w:w="1741" w:type="dxa"/>
          </w:tcPr>
          <w:p w:rsidR="00353441" w:rsidRPr="00353441" w:rsidRDefault="00353441" w:rsidP="00352DE0">
            <w:pPr>
              <w:rPr>
                <w:sz w:val="18"/>
              </w:rPr>
            </w:pPr>
            <w:r w:rsidRPr="00353441">
              <w:rPr>
                <w:sz w:val="18"/>
              </w:rPr>
              <w:t>Waar</w:t>
            </w:r>
          </w:p>
        </w:tc>
        <w:tc>
          <w:tcPr>
            <w:tcW w:w="1742" w:type="dxa"/>
          </w:tcPr>
          <w:p w:rsidR="00353441" w:rsidRPr="00353441" w:rsidRDefault="00353441" w:rsidP="00352DE0">
            <w:pPr>
              <w:rPr>
                <w:sz w:val="18"/>
              </w:rPr>
            </w:pPr>
            <w:r w:rsidRPr="00353441">
              <w:rPr>
                <w:sz w:val="18"/>
              </w:rPr>
              <w:t>#wooneenheden</w:t>
            </w:r>
          </w:p>
        </w:tc>
        <w:tc>
          <w:tcPr>
            <w:tcW w:w="1762" w:type="dxa"/>
          </w:tcPr>
          <w:p w:rsidR="00353441" w:rsidRPr="00353441" w:rsidRDefault="00353441" w:rsidP="00352DE0">
            <w:pPr>
              <w:rPr>
                <w:sz w:val="18"/>
              </w:rPr>
            </w:pPr>
            <w:r w:rsidRPr="00353441">
              <w:rPr>
                <w:sz w:val="18"/>
              </w:rPr>
              <w:t>#gezinswoningen</w:t>
            </w:r>
          </w:p>
        </w:tc>
        <w:tc>
          <w:tcPr>
            <w:tcW w:w="2405" w:type="dxa"/>
          </w:tcPr>
          <w:p w:rsidR="00353441" w:rsidRPr="00353441" w:rsidRDefault="00353441" w:rsidP="00352DE0">
            <w:pPr>
              <w:rPr>
                <w:sz w:val="18"/>
              </w:rPr>
            </w:pPr>
            <w:r w:rsidRPr="00353441">
              <w:rPr>
                <w:sz w:val="18"/>
              </w:rPr>
              <w:t>Tegen wanneer</w:t>
            </w:r>
          </w:p>
        </w:tc>
        <w:tc>
          <w:tcPr>
            <w:tcW w:w="4536" w:type="dxa"/>
          </w:tcPr>
          <w:p w:rsidR="00353441" w:rsidRPr="00353441" w:rsidRDefault="00353441" w:rsidP="00352DE0">
            <w:pPr>
              <w:rPr>
                <w:sz w:val="18"/>
              </w:rPr>
            </w:pPr>
            <w:r w:rsidRPr="00353441">
              <w:rPr>
                <w:sz w:val="18"/>
              </w:rPr>
              <w:t>Contact nemen</w:t>
            </w:r>
          </w:p>
        </w:tc>
      </w:tr>
      <w:tr w:rsidR="00353441" w:rsidRPr="00353441" w:rsidTr="00352DE0">
        <w:tc>
          <w:tcPr>
            <w:tcW w:w="1741" w:type="dxa"/>
          </w:tcPr>
          <w:p w:rsidR="00353441" w:rsidRPr="00353441" w:rsidRDefault="00353441" w:rsidP="00352DE0">
            <w:pPr>
              <w:rPr>
                <w:sz w:val="18"/>
              </w:rPr>
            </w:pPr>
            <w:proofErr w:type="spellStart"/>
            <w:r w:rsidRPr="00353441">
              <w:rPr>
                <w:sz w:val="18"/>
              </w:rPr>
              <w:t>Saffersfabriek</w:t>
            </w:r>
            <w:proofErr w:type="spellEnd"/>
          </w:p>
        </w:tc>
        <w:tc>
          <w:tcPr>
            <w:tcW w:w="1742" w:type="dxa"/>
          </w:tcPr>
          <w:p w:rsidR="00353441" w:rsidRPr="00353441" w:rsidRDefault="00353441" w:rsidP="00352DE0">
            <w:pPr>
              <w:rPr>
                <w:sz w:val="18"/>
              </w:rPr>
            </w:pPr>
            <w:r w:rsidRPr="00353441">
              <w:rPr>
                <w:sz w:val="18"/>
              </w:rPr>
              <w:t>250</w:t>
            </w:r>
          </w:p>
        </w:tc>
        <w:tc>
          <w:tcPr>
            <w:tcW w:w="1762" w:type="dxa"/>
          </w:tcPr>
          <w:p w:rsidR="00353441" w:rsidRPr="00353441" w:rsidRDefault="00353441" w:rsidP="00352DE0">
            <w:pPr>
              <w:rPr>
                <w:sz w:val="18"/>
              </w:rPr>
            </w:pPr>
            <w:r w:rsidRPr="00353441">
              <w:rPr>
                <w:sz w:val="18"/>
              </w:rPr>
              <w:t>20</w:t>
            </w:r>
          </w:p>
        </w:tc>
        <w:tc>
          <w:tcPr>
            <w:tcW w:w="2405" w:type="dxa"/>
          </w:tcPr>
          <w:p w:rsidR="00353441" w:rsidRPr="00353441" w:rsidRDefault="00353441" w:rsidP="00352DE0">
            <w:pPr>
              <w:rPr>
                <w:sz w:val="18"/>
              </w:rPr>
            </w:pPr>
            <w:r w:rsidRPr="00353441">
              <w:rPr>
                <w:sz w:val="18"/>
              </w:rPr>
              <w:t>2019</w:t>
            </w:r>
          </w:p>
        </w:tc>
        <w:tc>
          <w:tcPr>
            <w:tcW w:w="4536" w:type="dxa"/>
          </w:tcPr>
          <w:p w:rsidR="00353441" w:rsidRPr="00353441" w:rsidRDefault="007610E2" w:rsidP="00352DE0">
            <w:pPr>
              <w:rPr>
                <w:sz w:val="18"/>
              </w:rPr>
            </w:pPr>
            <w:r>
              <w:rPr>
                <w:sz w:val="18"/>
              </w:rPr>
              <w:t>Half 2018</w:t>
            </w:r>
          </w:p>
        </w:tc>
      </w:tr>
      <w:tr w:rsidR="00353441" w:rsidRPr="00353441" w:rsidTr="00352DE0">
        <w:tc>
          <w:tcPr>
            <w:tcW w:w="1741" w:type="dxa"/>
          </w:tcPr>
          <w:p w:rsidR="00353441" w:rsidRPr="00353441" w:rsidRDefault="00353441" w:rsidP="00352DE0">
            <w:pPr>
              <w:rPr>
                <w:sz w:val="18"/>
              </w:rPr>
            </w:pPr>
          </w:p>
        </w:tc>
        <w:tc>
          <w:tcPr>
            <w:tcW w:w="1742" w:type="dxa"/>
          </w:tcPr>
          <w:p w:rsidR="00353441" w:rsidRPr="00353441" w:rsidRDefault="00353441" w:rsidP="00352DE0">
            <w:pPr>
              <w:rPr>
                <w:sz w:val="18"/>
              </w:rPr>
            </w:pPr>
          </w:p>
        </w:tc>
        <w:tc>
          <w:tcPr>
            <w:tcW w:w="1762" w:type="dxa"/>
          </w:tcPr>
          <w:p w:rsidR="00353441" w:rsidRPr="00353441" w:rsidRDefault="00353441" w:rsidP="00352DE0">
            <w:pPr>
              <w:rPr>
                <w:sz w:val="18"/>
              </w:rPr>
            </w:pPr>
            <w:r w:rsidRPr="00353441">
              <w:rPr>
                <w:sz w:val="18"/>
              </w:rPr>
              <w:t>50</w:t>
            </w:r>
          </w:p>
        </w:tc>
        <w:tc>
          <w:tcPr>
            <w:tcW w:w="2405" w:type="dxa"/>
          </w:tcPr>
          <w:p w:rsidR="00353441" w:rsidRPr="00353441" w:rsidRDefault="00353441" w:rsidP="00352DE0">
            <w:pPr>
              <w:rPr>
                <w:sz w:val="18"/>
              </w:rPr>
            </w:pPr>
            <w:r w:rsidRPr="00353441">
              <w:rPr>
                <w:sz w:val="18"/>
              </w:rPr>
              <w:t>2028</w:t>
            </w:r>
          </w:p>
        </w:tc>
        <w:tc>
          <w:tcPr>
            <w:tcW w:w="4536" w:type="dxa"/>
          </w:tcPr>
          <w:p w:rsidR="00353441" w:rsidRPr="00353441" w:rsidRDefault="00353441" w:rsidP="00352DE0">
            <w:pPr>
              <w:rPr>
                <w:sz w:val="18"/>
              </w:rPr>
            </w:pPr>
          </w:p>
        </w:tc>
      </w:tr>
      <w:tr w:rsidR="00353441" w:rsidRPr="00353441" w:rsidTr="00352DE0">
        <w:tc>
          <w:tcPr>
            <w:tcW w:w="1741" w:type="dxa"/>
          </w:tcPr>
          <w:p w:rsidR="00353441" w:rsidRPr="00353441" w:rsidRDefault="00353441" w:rsidP="00352DE0">
            <w:pPr>
              <w:rPr>
                <w:sz w:val="18"/>
              </w:rPr>
            </w:pPr>
            <w:r w:rsidRPr="00353441">
              <w:rPr>
                <w:sz w:val="18"/>
              </w:rPr>
              <w:t>Scheldekop</w:t>
            </w:r>
          </w:p>
        </w:tc>
        <w:tc>
          <w:tcPr>
            <w:tcW w:w="1742" w:type="dxa"/>
          </w:tcPr>
          <w:p w:rsidR="00353441" w:rsidRPr="00353441" w:rsidRDefault="00353441" w:rsidP="00352DE0">
            <w:pPr>
              <w:rPr>
                <w:sz w:val="18"/>
              </w:rPr>
            </w:pPr>
          </w:p>
        </w:tc>
        <w:tc>
          <w:tcPr>
            <w:tcW w:w="1762" w:type="dxa"/>
          </w:tcPr>
          <w:p w:rsidR="00353441" w:rsidRPr="00353441" w:rsidRDefault="00353441" w:rsidP="00352DE0">
            <w:pPr>
              <w:rPr>
                <w:sz w:val="18"/>
              </w:rPr>
            </w:pPr>
            <w:r w:rsidRPr="00353441">
              <w:rPr>
                <w:sz w:val="18"/>
              </w:rPr>
              <w:t>19</w:t>
            </w:r>
          </w:p>
        </w:tc>
        <w:tc>
          <w:tcPr>
            <w:tcW w:w="2405" w:type="dxa"/>
          </w:tcPr>
          <w:p w:rsidR="00353441" w:rsidRPr="00353441" w:rsidRDefault="00353441" w:rsidP="00352DE0">
            <w:pPr>
              <w:rPr>
                <w:sz w:val="18"/>
              </w:rPr>
            </w:pPr>
            <w:r w:rsidRPr="00353441">
              <w:rPr>
                <w:sz w:val="18"/>
              </w:rPr>
              <w:t>Worden nu verkocht</w:t>
            </w:r>
          </w:p>
        </w:tc>
        <w:tc>
          <w:tcPr>
            <w:tcW w:w="4536" w:type="dxa"/>
          </w:tcPr>
          <w:p w:rsidR="00353441" w:rsidRPr="00353441" w:rsidRDefault="00353441" w:rsidP="00352DE0">
            <w:pPr>
              <w:rPr>
                <w:sz w:val="18"/>
              </w:rPr>
            </w:pPr>
          </w:p>
        </w:tc>
      </w:tr>
      <w:tr w:rsidR="00353441" w:rsidRPr="00353441" w:rsidTr="00352DE0">
        <w:tc>
          <w:tcPr>
            <w:tcW w:w="1741" w:type="dxa"/>
          </w:tcPr>
          <w:p w:rsidR="00353441" w:rsidRPr="00353441" w:rsidRDefault="00353441" w:rsidP="00352DE0">
            <w:pPr>
              <w:rPr>
                <w:sz w:val="18"/>
              </w:rPr>
            </w:pPr>
            <w:proofErr w:type="spellStart"/>
            <w:r w:rsidRPr="00353441">
              <w:rPr>
                <w:sz w:val="18"/>
              </w:rPr>
              <w:t>Diependaele</w:t>
            </w:r>
            <w:proofErr w:type="spellEnd"/>
          </w:p>
        </w:tc>
        <w:tc>
          <w:tcPr>
            <w:tcW w:w="1742" w:type="dxa"/>
          </w:tcPr>
          <w:p w:rsidR="00353441" w:rsidRPr="00353441" w:rsidRDefault="00353441" w:rsidP="00352DE0">
            <w:pPr>
              <w:rPr>
                <w:sz w:val="18"/>
              </w:rPr>
            </w:pPr>
            <w:r w:rsidRPr="00353441">
              <w:rPr>
                <w:sz w:val="18"/>
              </w:rPr>
              <w:t>35</w:t>
            </w:r>
          </w:p>
        </w:tc>
        <w:tc>
          <w:tcPr>
            <w:tcW w:w="1762" w:type="dxa"/>
          </w:tcPr>
          <w:p w:rsidR="00353441" w:rsidRPr="00353441" w:rsidRDefault="00353441" w:rsidP="00352DE0">
            <w:pPr>
              <w:rPr>
                <w:sz w:val="18"/>
              </w:rPr>
            </w:pPr>
            <w:r w:rsidRPr="00353441">
              <w:rPr>
                <w:sz w:val="18"/>
              </w:rPr>
              <w:t>20</w:t>
            </w:r>
          </w:p>
        </w:tc>
        <w:tc>
          <w:tcPr>
            <w:tcW w:w="2405" w:type="dxa"/>
          </w:tcPr>
          <w:p w:rsidR="00353441" w:rsidRPr="00353441" w:rsidRDefault="00353441" w:rsidP="00352DE0">
            <w:pPr>
              <w:rPr>
                <w:sz w:val="18"/>
              </w:rPr>
            </w:pPr>
          </w:p>
        </w:tc>
        <w:tc>
          <w:tcPr>
            <w:tcW w:w="4536" w:type="dxa"/>
          </w:tcPr>
          <w:p w:rsidR="00353441" w:rsidRPr="00353441" w:rsidRDefault="00353441" w:rsidP="00352DE0">
            <w:pPr>
              <w:rPr>
                <w:sz w:val="18"/>
              </w:rPr>
            </w:pPr>
            <w:r w:rsidRPr="00353441">
              <w:rPr>
                <w:sz w:val="18"/>
              </w:rPr>
              <w:t>Sociale Huisvestingsmaatschappij</w:t>
            </w:r>
          </w:p>
        </w:tc>
      </w:tr>
      <w:tr w:rsidR="00353441" w:rsidRPr="00353441" w:rsidTr="00352DE0">
        <w:tc>
          <w:tcPr>
            <w:tcW w:w="1741" w:type="dxa"/>
          </w:tcPr>
          <w:p w:rsidR="00353441" w:rsidRPr="00353441" w:rsidRDefault="00353441" w:rsidP="00352DE0">
            <w:pPr>
              <w:rPr>
                <w:sz w:val="18"/>
              </w:rPr>
            </w:pPr>
            <w:r w:rsidRPr="00353441">
              <w:rPr>
                <w:sz w:val="18"/>
              </w:rPr>
              <w:t>Heurne</w:t>
            </w:r>
          </w:p>
        </w:tc>
        <w:tc>
          <w:tcPr>
            <w:tcW w:w="1742" w:type="dxa"/>
          </w:tcPr>
          <w:p w:rsidR="00353441" w:rsidRPr="00353441" w:rsidRDefault="00353441" w:rsidP="00352DE0">
            <w:pPr>
              <w:rPr>
                <w:sz w:val="18"/>
              </w:rPr>
            </w:pPr>
          </w:p>
        </w:tc>
        <w:tc>
          <w:tcPr>
            <w:tcW w:w="1762" w:type="dxa"/>
          </w:tcPr>
          <w:p w:rsidR="00353441" w:rsidRPr="00353441" w:rsidRDefault="00353441" w:rsidP="00352DE0">
            <w:pPr>
              <w:rPr>
                <w:sz w:val="18"/>
              </w:rPr>
            </w:pPr>
            <w:r w:rsidRPr="00353441">
              <w:rPr>
                <w:sz w:val="18"/>
              </w:rPr>
              <w:t xml:space="preserve">20 </w:t>
            </w:r>
          </w:p>
        </w:tc>
        <w:tc>
          <w:tcPr>
            <w:tcW w:w="2405" w:type="dxa"/>
          </w:tcPr>
          <w:p w:rsidR="00353441" w:rsidRPr="00353441" w:rsidRDefault="00353441" w:rsidP="00352DE0">
            <w:pPr>
              <w:rPr>
                <w:sz w:val="18"/>
              </w:rPr>
            </w:pPr>
            <w:r w:rsidRPr="00353441">
              <w:rPr>
                <w:sz w:val="18"/>
              </w:rPr>
              <w:t>Zijn klaar</w:t>
            </w:r>
          </w:p>
        </w:tc>
        <w:tc>
          <w:tcPr>
            <w:tcW w:w="4536" w:type="dxa"/>
          </w:tcPr>
          <w:p w:rsidR="00353441" w:rsidRPr="00353441" w:rsidRDefault="00353441" w:rsidP="00352DE0">
            <w:pPr>
              <w:rPr>
                <w:sz w:val="18"/>
              </w:rPr>
            </w:pPr>
            <w:r w:rsidRPr="00353441">
              <w:rPr>
                <w:sz w:val="18"/>
              </w:rPr>
              <w:t>Sociale Huisvestingsmaatschappij</w:t>
            </w:r>
          </w:p>
        </w:tc>
      </w:tr>
      <w:tr w:rsidR="00353441" w:rsidRPr="00353441" w:rsidTr="00352DE0">
        <w:tc>
          <w:tcPr>
            <w:tcW w:w="1741" w:type="dxa"/>
          </w:tcPr>
          <w:p w:rsidR="00353441" w:rsidRPr="00353441" w:rsidRDefault="00353441" w:rsidP="00352DE0">
            <w:pPr>
              <w:rPr>
                <w:sz w:val="18"/>
              </w:rPr>
            </w:pPr>
          </w:p>
        </w:tc>
        <w:tc>
          <w:tcPr>
            <w:tcW w:w="1742" w:type="dxa"/>
          </w:tcPr>
          <w:p w:rsidR="00353441" w:rsidRPr="00353441" w:rsidRDefault="00353441" w:rsidP="00352DE0">
            <w:pPr>
              <w:rPr>
                <w:sz w:val="18"/>
              </w:rPr>
            </w:pPr>
          </w:p>
        </w:tc>
        <w:tc>
          <w:tcPr>
            <w:tcW w:w="1762" w:type="dxa"/>
          </w:tcPr>
          <w:p w:rsidR="00353441" w:rsidRPr="00353441" w:rsidRDefault="00353441" w:rsidP="00352DE0">
            <w:pPr>
              <w:rPr>
                <w:sz w:val="18"/>
              </w:rPr>
            </w:pPr>
            <w:r w:rsidRPr="00353441">
              <w:rPr>
                <w:sz w:val="18"/>
              </w:rPr>
              <w:t>Nog 10-tallen</w:t>
            </w:r>
          </w:p>
        </w:tc>
        <w:tc>
          <w:tcPr>
            <w:tcW w:w="2405" w:type="dxa"/>
          </w:tcPr>
          <w:p w:rsidR="00353441" w:rsidRPr="00353441" w:rsidRDefault="00353441" w:rsidP="00352DE0">
            <w:pPr>
              <w:rPr>
                <w:sz w:val="18"/>
              </w:rPr>
            </w:pPr>
          </w:p>
        </w:tc>
        <w:tc>
          <w:tcPr>
            <w:tcW w:w="4536" w:type="dxa"/>
          </w:tcPr>
          <w:p w:rsidR="00353441" w:rsidRPr="00353441" w:rsidRDefault="00353441" w:rsidP="00352DE0">
            <w:pPr>
              <w:rPr>
                <w:sz w:val="18"/>
              </w:rPr>
            </w:pPr>
            <w:r w:rsidRPr="00353441">
              <w:rPr>
                <w:sz w:val="18"/>
              </w:rPr>
              <w:t>Sociale Huisvestingsmaatschappij</w:t>
            </w:r>
          </w:p>
        </w:tc>
      </w:tr>
      <w:tr w:rsidR="00353441" w:rsidRPr="00353441" w:rsidTr="00352DE0">
        <w:tc>
          <w:tcPr>
            <w:tcW w:w="1741" w:type="dxa"/>
          </w:tcPr>
          <w:p w:rsidR="00353441" w:rsidRPr="00353441" w:rsidRDefault="00353441" w:rsidP="00352DE0">
            <w:pPr>
              <w:rPr>
                <w:sz w:val="18"/>
              </w:rPr>
            </w:pPr>
            <w:r w:rsidRPr="00353441">
              <w:rPr>
                <w:sz w:val="18"/>
              </w:rPr>
              <w:t>Station</w:t>
            </w:r>
          </w:p>
        </w:tc>
        <w:tc>
          <w:tcPr>
            <w:tcW w:w="1742" w:type="dxa"/>
          </w:tcPr>
          <w:p w:rsidR="00353441" w:rsidRPr="00353441" w:rsidRDefault="00353441" w:rsidP="00352DE0">
            <w:pPr>
              <w:rPr>
                <w:sz w:val="18"/>
              </w:rPr>
            </w:pPr>
            <w:r w:rsidRPr="00353441">
              <w:rPr>
                <w:sz w:val="18"/>
              </w:rPr>
              <w:t>Nog niet bekend</w:t>
            </w:r>
          </w:p>
        </w:tc>
        <w:tc>
          <w:tcPr>
            <w:tcW w:w="1762" w:type="dxa"/>
          </w:tcPr>
          <w:p w:rsidR="00353441" w:rsidRPr="00353441" w:rsidRDefault="00353441" w:rsidP="00352DE0">
            <w:pPr>
              <w:rPr>
                <w:sz w:val="18"/>
              </w:rPr>
            </w:pPr>
            <w:r w:rsidRPr="00353441">
              <w:rPr>
                <w:sz w:val="18"/>
              </w:rPr>
              <w:t>Nog niet bekend</w:t>
            </w:r>
          </w:p>
        </w:tc>
        <w:tc>
          <w:tcPr>
            <w:tcW w:w="2405" w:type="dxa"/>
          </w:tcPr>
          <w:p w:rsidR="00353441" w:rsidRPr="00353441" w:rsidRDefault="00353441" w:rsidP="00352DE0">
            <w:pPr>
              <w:rPr>
                <w:sz w:val="18"/>
              </w:rPr>
            </w:pPr>
            <w:r w:rsidRPr="00353441">
              <w:rPr>
                <w:sz w:val="18"/>
              </w:rPr>
              <w:t>Nog niet bekend</w:t>
            </w:r>
          </w:p>
        </w:tc>
        <w:tc>
          <w:tcPr>
            <w:tcW w:w="4536" w:type="dxa"/>
            <w:vMerge w:val="restart"/>
            <w:vAlign w:val="center"/>
          </w:tcPr>
          <w:p w:rsidR="00353441" w:rsidRPr="00353441" w:rsidRDefault="00353441" w:rsidP="00352DE0">
            <w:pPr>
              <w:rPr>
                <w:sz w:val="18"/>
              </w:rPr>
            </w:pPr>
            <w:r w:rsidRPr="00353441">
              <w:rPr>
                <w:sz w:val="18"/>
              </w:rPr>
              <w:t>Einde 2018</w:t>
            </w:r>
          </w:p>
          <w:p w:rsidR="00353441" w:rsidRPr="00353441" w:rsidRDefault="00353441" w:rsidP="00352DE0">
            <w:pPr>
              <w:rPr>
                <w:sz w:val="18"/>
              </w:rPr>
            </w:pPr>
          </w:p>
        </w:tc>
      </w:tr>
      <w:tr w:rsidR="00353441" w:rsidRPr="00353441" w:rsidTr="00352DE0">
        <w:tc>
          <w:tcPr>
            <w:tcW w:w="1741" w:type="dxa"/>
          </w:tcPr>
          <w:p w:rsidR="00353441" w:rsidRPr="00353441" w:rsidRDefault="00353441" w:rsidP="00352DE0">
            <w:pPr>
              <w:rPr>
                <w:sz w:val="18"/>
              </w:rPr>
            </w:pPr>
            <w:proofErr w:type="spellStart"/>
            <w:r w:rsidRPr="00353441">
              <w:rPr>
                <w:sz w:val="18"/>
              </w:rPr>
              <w:t>Santenssite</w:t>
            </w:r>
            <w:proofErr w:type="spellEnd"/>
          </w:p>
        </w:tc>
        <w:tc>
          <w:tcPr>
            <w:tcW w:w="1742" w:type="dxa"/>
          </w:tcPr>
          <w:p w:rsidR="00353441" w:rsidRPr="00353441" w:rsidRDefault="00353441" w:rsidP="00352DE0">
            <w:pPr>
              <w:rPr>
                <w:sz w:val="18"/>
              </w:rPr>
            </w:pPr>
            <w:r w:rsidRPr="00353441">
              <w:rPr>
                <w:sz w:val="18"/>
              </w:rPr>
              <w:t>Nog niet bekend</w:t>
            </w:r>
          </w:p>
        </w:tc>
        <w:tc>
          <w:tcPr>
            <w:tcW w:w="1762" w:type="dxa"/>
          </w:tcPr>
          <w:p w:rsidR="00353441" w:rsidRPr="00353441" w:rsidRDefault="00353441" w:rsidP="00352DE0">
            <w:pPr>
              <w:rPr>
                <w:sz w:val="18"/>
              </w:rPr>
            </w:pPr>
            <w:r w:rsidRPr="00353441">
              <w:rPr>
                <w:sz w:val="18"/>
              </w:rPr>
              <w:t>Nog niet bekend</w:t>
            </w:r>
          </w:p>
        </w:tc>
        <w:tc>
          <w:tcPr>
            <w:tcW w:w="2405" w:type="dxa"/>
          </w:tcPr>
          <w:p w:rsidR="00353441" w:rsidRPr="00353441" w:rsidRDefault="00353441" w:rsidP="00352DE0">
            <w:pPr>
              <w:rPr>
                <w:sz w:val="18"/>
              </w:rPr>
            </w:pPr>
            <w:r w:rsidRPr="00353441">
              <w:rPr>
                <w:sz w:val="18"/>
              </w:rPr>
              <w:t>Nog niet bekend</w:t>
            </w:r>
          </w:p>
        </w:tc>
        <w:tc>
          <w:tcPr>
            <w:tcW w:w="4536" w:type="dxa"/>
            <w:vMerge/>
          </w:tcPr>
          <w:p w:rsidR="00353441" w:rsidRPr="00353441" w:rsidRDefault="00353441" w:rsidP="00352DE0">
            <w:pPr>
              <w:rPr>
                <w:sz w:val="18"/>
              </w:rPr>
            </w:pPr>
          </w:p>
        </w:tc>
      </w:tr>
      <w:tr w:rsidR="00353441" w:rsidRPr="00353441" w:rsidTr="00352DE0">
        <w:tc>
          <w:tcPr>
            <w:tcW w:w="1741" w:type="dxa"/>
          </w:tcPr>
          <w:p w:rsidR="00353441" w:rsidRPr="00353441" w:rsidRDefault="00353441" w:rsidP="00352DE0">
            <w:pPr>
              <w:rPr>
                <w:sz w:val="18"/>
              </w:rPr>
            </w:pPr>
            <w:proofErr w:type="spellStart"/>
            <w:r w:rsidRPr="00353441">
              <w:rPr>
                <w:sz w:val="18"/>
              </w:rPr>
              <w:t>Eine</w:t>
            </w:r>
            <w:proofErr w:type="spellEnd"/>
          </w:p>
        </w:tc>
        <w:tc>
          <w:tcPr>
            <w:tcW w:w="1742" w:type="dxa"/>
          </w:tcPr>
          <w:p w:rsidR="00353441" w:rsidRPr="00353441" w:rsidRDefault="00353441" w:rsidP="00352DE0">
            <w:pPr>
              <w:rPr>
                <w:sz w:val="18"/>
              </w:rPr>
            </w:pPr>
            <w:r w:rsidRPr="00353441">
              <w:rPr>
                <w:sz w:val="18"/>
              </w:rPr>
              <w:t>Nog niet bekend</w:t>
            </w:r>
          </w:p>
        </w:tc>
        <w:tc>
          <w:tcPr>
            <w:tcW w:w="1762" w:type="dxa"/>
          </w:tcPr>
          <w:p w:rsidR="00353441" w:rsidRPr="00353441" w:rsidRDefault="00353441" w:rsidP="00352DE0">
            <w:pPr>
              <w:rPr>
                <w:sz w:val="18"/>
              </w:rPr>
            </w:pPr>
            <w:r w:rsidRPr="00353441">
              <w:rPr>
                <w:sz w:val="18"/>
              </w:rPr>
              <w:t>Nog niet bekend</w:t>
            </w:r>
          </w:p>
        </w:tc>
        <w:tc>
          <w:tcPr>
            <w:tcW w:w="2405" w:type="dxa"/>
          </w:tcPr>
          <w:p w:rsidR="00353441" w:rsidRPr="00353441" w:rsidRDefault="00353441" w:rsidP="00352DE0">
            <w:pPr>
              <w:rPr>
                <w:sz w:val="18"/>
              </w:rPr>
            </w:pPr>
            <w:r w:rsidRPr="00353441">
              <w:rPr>
                <w:sz w:val="18"/>
              </w:rPr>
              <w:t>Nog niet bekend</w:t>
            </w:r>
          </w:p>
        </w:tc>
        <w:tc>
          <w:tcPr>
            <w:tcW w:w="4536" w:type="dxa"/>
            <w:vMerge/>
          </w:tcPr>
          <w:p w:rsidR="00353441" w:rsidRPr="00353441" w:rsidRDefault="00353441" w:rsidP="00352DE0">
            <w:pPr>
              <w:rPr>
                <w:sz w:val="18"/>
              </w:rPr>
            </w:pPr>
          </w:p>
        </w:tc>
      </w:tr>
    </w:tbl>
    <w:p w:rsidR="00353441" w:rsidRDefault="00353441" w:rsidP="00A97923">
      <w:pPr>
        <w:spacing w:line="276" w:lineRule="auto"/>
        <w:jc w:val="both"/>
        <w:rPr>
          <w:sz w:val="18"/>
        </w:rPr>
      </w:pPr>
    </w:p>
    <w:p w:rsidR="00414D34" w:rsidRDefault="00A43B97" w:rsidP="00414D34">
      <w:pPr>
        <w:pStyle w:val="Geenafstand"/>
      </w:pPr>
      <w:r>
        <w:t xml:space="preserve">Ook aan het station, op de </w:t>
      </w:r>
      <w:proofErr w:type="spellStart"/>
      <w:r>
        <w:t>Santenssite</w:t>
      </w:r>
      <w:proofErr w:type="spellEnd"/>
      <w:r>
        <w:t xml:space="preserve">, in </w:t>
      </w:r>
      <w:proofErr w:type="spellStart"/>
      <w:r>
        <w:t>Eine</w:t>
      </w:r>
      <w:proofErr w:type="spellEnd"/>
      <w:r>
        <w:t xml:space="preserve">, </w:t>
      </w:r>
      <w:proofErr w:type="spellStart"/>
      <w:r>
        <w:t>Leupegem</w:t>
      </w:r>
      <w:proofErr w:type="spellEnd"/>
      <w:r>
        <w:t xml:space="preserve"> en </w:t>
      </w:r>
      <w:proofErr w:type="spellStart"/>
      <w:r>
        <w:t>Volkegem</w:t>
      </w:r>
      <w:proofErr w:type="spellEnd"/>
      <w:r>
        <w:t xml:space="preserve"> mogen we waarschijnlijk projecten verwachten. Veel is nog onduidelijk en/of onder voorbehoud</w:t>
      </w:r>
      <w:r w:rsidR="00414D34">
        <w:t>, maar het is duidelijk dat de komende jaren de instroom toeneemt en dat we hierop voorbereid moeten zijn</w:t>
      </w:r>
      <w:r w:rsidR="005D6B29">
        <w:t xml:space="preserve"> in functie van capaciteit, sociale mix, mobiliteit en veiligheid, afstand domicilie-school.</w:t>
      </w:r>
      <w:r>
        <w:t xml:space="preserve"> </w:t>
      </w:r>
    </w:p>
    <w:p w:rsidR="005D6B29" w:rsidRDefault="005D6B29" w:rsidP="00414D34">
      <w:pPr>
        <w:pStyle w:val="Geenafstand"/>
      </w:pPr>
    </w:p>
    <w:p w:rsidR="005D6B29" w:rsidRDefault="005D6B29" w:rsidP="00414D34">
      <w:pPr>
        <w:pStyle w:val="Geenafstand"/>
      </w:pPr>
      <w:r>
        <w:t>We spreken af:</w:t>
      </w:r>
    </w:p>
    <w:p w:rsidR="005D6B29" w:rsidRDefault="005D6B29" w:rsidP="00414D34">
      <w:pPr>
        <w:pStyle w:val="Geenafstand"/>
        <w:numPr>
          <w:ilvl w:val="0"/>
          <w:numId w:val="25"/>
        </w:numPr>
      </w:pPr>
      <w:r>
        <w:t xml:space="preserve">De tabel wordt verfijnd en </w:t>
      </w:r>
      <w:r w:rsidR="007610E2">
        <w:t>voortdurend</w:t>
      </w:r>
      <w:r>
        <w:t xml:space="preserve"> </w:t>
      </w:r>
      <w:proofErr w:type="spellStart"/>
      <w:r>
        <w:t>geupdated</w:t>
      </w:r>
      <w:proofErr w:type="spellEnd"/>
    </w:p>
    <w:p w:rsidR="00CF72E7" w:rsidRPr="00414D34" w:rsidRDefault="00414D34" w:rsidP="00414D34">
      <w:pPr>
        <w:pStyle w:val="Geenafstand"/>
        <w:numPr>
          <w:ilvl w:val="0"/>
          <w:numId w:val="25"/>
        </w:numPr>
      </w:pPr>
      <w:r w:rsidRPr="00414D34">
        <w:t xml:space="preserve">Caroline Van </w:t>
      </w:r>
      <w:proofErr w:type="spellStart"/>
      <w:r w:rsidRPr="00414D34">
        <w:t>Driessche</w:t>
      </w:r>
      <w:proofErr w:type="spellEnd"/>
      <w:r w:rsidRPr="00414D34">
        <w:t xml:space="preserve"> onderzoekt de ruimte voor capaciteitsuitbreiding in het KBO</w:t>
      </w:r>
    </w:p>
    <w:p w:rsidR="00414D34" w:rsidRPr="00414D34" w:rsidRDefault="00414D34" w:rsidP="00414D34">
      <w:pPr>
        <w:pStyle w:val="Geenafstand"/>
        <w:numPr>
          <w:ilvl w:val="0"/>
          <w:numId w:val="25"/>
        </w:numPr>
      </w:pPr>
      <w:r w:rsidRPr="00414D34">
        <w:t xml:space="preserve">Bert </w:t>
      </w:r>
      <w:proofErr w:type="spellStart"/>
      <w:r w:rsidRPr="00414D34">
        <w:t>Vandepoele</w:t>
      </w:r>
      <w:proofErr w:type="spellEnd"/>
      <w:r>
        <w:t xml:space="preserve"> </w:t>
      </w:r>
      <w:r w:rsidR="005D6B29">
        <w:t xml:space="preserve">neemt deze informatie mee in de besprekingen rond de beleidsvoorstellen sociale zaken </w:t>
      </w:r>
      <w:r w:rsidR="00B20E1B">
        <w:t xml:space="preserve">(sociale huisvesting) </w:t>
      </w:r>
      <w:r w:rsidR="005D6B29">
        <w:t>voor de volgende legislatuur</w:t>
      </w:r>
    </w:p>
    <w:p w:rsidR="00375F6B" w:rsidRDefault="00375F6B" w:rsidP="00414D34">
      <w:pPr>
        <w:pStyle w:val="Geenafstand"/>
      </w:pPr>
    </w:p>
    <w:p w:rsidR="00375F6B" w:rsidRDefault="00375F6B" w:rsidP="00A97923">
      <w:pPr>
        <w:spacing w:line="276" w:lineRule="auto"/>
        <w:jc w:val="both"/>
        <w:rPr>
          <w:rFonts w:cstheme="minorHAnsi"/>
          <w:sz w:val="20"/>
          <w:szCs w:val="20"/>
        </w:rPr>
      </w:pPr>
    </w:p>
    <w:p w:rsidR="00B20E1B" w:rsidRDefault="00B20E1B" w:rsidP="00A97923">
      <w:pPr>
        <w:spacing w:line="276" w:lineRule="auto"/>
        <w:jc w:val="both"/>
        <w:rPr>
          <w:rFonts w:cstheme="minorHAnsi"/>
          <w:sz w:val="20"/>
          <w:szCs w:val="20"/>
        </w:rPr>
      </w:pPr>
    </w:p>
    <w:p w:rsidR="00B20E1B" w:rsidRDefault="00B20E1B" w:rsidP="00B20E1B">
      <w:pPr>
        <w:pStyle w:val="Lijstalinea"/>
        <w:numPr>
          <w:ilvl w:val="0"/>
          <w:numId w:val="2"/>
        </w:numPr>
        <w:shd w:val="clear" w:color="auto" w:fill="F2F2F2" w:themeFill="background1" w:themeFillShade="F2"/>
        <w:spacing w:line="254" w:lineRule="auto"/>
      </w:pPr>
      <w:r>
        <w:t>Terugkoppeling spijbeloverleg</w:t>
      </w:r>
    </w:p>
    <w:p w:rsidR="00B20E1B" w:rsidRDefault="00B20E1B" w:rsidP="00A97923">
      <w:pPr>
        <w:spacing w:line="276" w:lineRule="auto"/>
        <w:jc w:val="both"/>
        <w:rPr>
          <w:rFonts w:cstheme="minorHAnsi"/>
          <w:sz w:val="20"/>
          <w:szCs w:val="20"/>
        </w:rPr>
      </w:pPr>
    </w:p>
    <w:p w:rsidR="00B20E1B" w:rsidRDefault="00B20E1B" w:rsidP="00B20E1B">
      <w:pPr>
        <w:pStyle w:val="Lijstalinea"/>
        <w:numPr>
          <w:ilvl w:val="0"/>
          <w:numId w:val="25"/>
        </w:numPr>
        <w:spacing w:line="276" w:lineRule="auto"/>
        <w:jc w:val="both"/>
        <w:rPr>
          <w:rFonts w:cstheme="minorHAnsi"/>
          <w:sz w:val="20"/>
          <w:szCs w:val="20"/>
        </w:rPr>
      </w:pPr>
      <w:r>
        <w:rPr>
          <w:rFonts w:cstheme="minorHAnsi"/>
          <w:sz w:val="20"/>
          <w:szCs w:val="20"/>
        </w:rPr>
        <w:t>In verband met de enquête spijbelen heeft het KBO ondertussen voor 4 scholen de resultaten binnen, voor het GO! komt nog info over 1 gezin</w:t>
      </w:r>
    </w:p>
    <w:p w:rsidR="00B20E1B" w:rsidRDefault="00B20E1B" w:rsidP="00B20E1B">
      <w:pPr>
        <w:pStyle w:val="Lijstalinea"/>
        <w:numPr>
          <w:ilvl w:val="0"/>
          <w:numId w:val="25"/>
        </w:numPr>
        <w:spacing w:line="276" w:lineRule="auto"/>
        <w:jc w:val="both"/>
        <w:rPr>
          <w:rFonts w:cstheme="minorHAnsi"/>
          <w:sz w:val="20"/>
          <w:szCs w:val="20"/>
        </w:rPr>
      </w:pPr>
      <w:r>
        <w:rPr>
          <w:rFonts w:cstheme="minorHAnsi"/>
          <w:sz w:val="20"/>
          <w:szCs w:val="20"/>
        </w:rPr>
        <w:t>Qua codes zien we hier weinig B, maar veel L en D</w:t>
      </w:r>
      <w:r w:rsidR="00825098">
        <w:rPr>
          <w:rFonts w:cstheme="minorHAnsi"/>
          <w:sz w:val="20"/>
          <w:szCs w:val="20"/>
        </w:rPr>
        <w:t>. Het klopt zeer zeker dat de cijfers gebaseerd op de B-codes geen adequate weerspiegeling zijn van de afwezigheidsproblematiek.</w:t>
      </w:r>
    </w:p>
    <w:p w:rsidR="00825098" w:rsidRDefault="00825098" w:rsidP="00B20E1B">
      <w:pPr>
        <w:pStyle w:val="Lijstalinea"/>
        <w:numPr>
          <w:ilvl w:val="0"/>
          <w:numId w:val="25"/>
        </w:numPr>
        <w:spacing w:line="276" w:lineRule="auto"/>
        <w:jc w:val="both"/>
        <w:rPr>
          <w:rFonts w:cstheme="minorHAnsi"/>
          <w:sz w:val="20"/>
          <w:szCs w:val="20"/>
        </w:rPr>
      </w:pPr>
      <w:r>
        <w:rPr>
          <w:rFonts w:cstheme="minorHAnsi"/>
          <w:sz w:val="20"/>
          <w:szCs w:val="20"/>
        </w:rPr>
        <w:t>De afwezigheidsproblematiek in het basisonderwijs is zeer sterk gerel</w:t>
      </w:r>
      <w:r w:rsidR="007610E2">
        <w:rPr>
          <w:rFonts w:cstheme="minorHAnsi"/>
          <w:sz w:val="20"/>
          <w:szCs w:val="20"/>
        </w:rPr>
        <w:t xml:space="preserve">ateerd aan opvoedingsproblemen, vaak binnen een </w:t>
      </w:r>
      <w:proofErr w:type="spellStart"/>
      <w:r w:rsidR="007610E2">
        <w:rPr>
          <w:rFonts w:cstheme="minorHAnsi"/>
          <w:sz w:val="20"/>
          <w:szCs w:val="20"/>
        </w:rPr>
        <w:t>multiproblem</w:t>
      </w:r>
      <w:proofErr w:type="spellEnd"/>
      <w:r w:rsidR="007610E2">
        <w:rPr>
          <w:rFonts w:cstheme="minorHAnsi"/>
          <w:sz w:val="20"/>
          <w:szCs w:val="20"/>
        </w:rPr>
        <w:t xml:space="preserve">-situatie. </w:t>
      </w:r>
      <w:r>
        <w:rPr>
          <w:rFonts w:cstheme="minorHAnsi"/>
          <w:sz w:val="20"/>
          <w:szCs w:val="20"/>
        </w:rPr>
        <w:t>Huis van het Kind (in opbouw) zal hier zeker een rol te spelen hebben.</w:t>
      </w:r>
      <w:r w:rsidR="00E06ACB">
        <w:rPr>
          <w:rFonts w:cstheme="minorHAnsi"/>
          <w:sz w:val="20"/>
          <w:szCs w:val="20"/>
        </w:rPr>
        <w:t xml:space="preserve"> Eerstdaags komt de stuurgroep van Huis van het Kind samen; Bert zal dit op de agenda zetten.</w:t>
      </w:r>
    </w:p>
    <w:p w:rsidR="00825098" w:rsidRDefault="00825098" w:rsidP="00B20E1B">
      <w:pPr>
        <w:pStyle w:val="Lijstalinea"/>
        <w:numPr>
          <w:ilvl w:val="0"/>
          <w:numId w:val="25"/>
        </w:numPr>
        <w:spacing w:line="276" w:lineRule="auto"/>
        <w:jc w:val="both"/>
        <w:rPr>
          <w:rFonts w:cstheme="minorHAnsi"/>
          <w:sz w:val="20"/>
          <w:szCs w:val="20"/>
        </w:rPr>
      </w:pPr>
      <w:r>
        <w:rPr>
          <w:rFonts w:cstheme="minorHAnsi"/>
          <w:sz w:val="20"/>
          <w:szCs w:val="20"/>
        </w:rPr>
        <w:t xml:space="preserve">Zowel de </w:t>
      </w:r>
      <w:proofErr w:type="spellStart"/>
      <w:r>
        <w:rPr>
          <w:rFonts w:cstheme="minorHAnsi"/>
          <w:sz w:val="20"/>
          <w:szCs w:val="20"/>
        </w:rPr>
        <w:t>CLB’s</w:t>
      </w:r>
      <w:proofErr w:type="spellEnd"/>
      <w:r>
        <w:rPr>
          <w:rFonts w:cstheme="minorHAnsi"/>
          <w:sz w:val="20"/>
          <w:szCs w:val="20"/>
        </w:rPr>
        <w:t xml:space="preserve"> als de scholen zijn gefrustreerd in de huidige situatie: </w:t>
      </w:r>
      <w:r w:rsidR="00560E5D">
        <w:rPr>
          <w:rFonts w:cstheme="minorHAnsi"/>
          <w:sz w:val="20"/>
          <w:szCs w:val="20"/>
        </w:rPr>
        <w:t>er worden heel veel</w:t>
      </w:r>
      <w:r>
        <w:rPr>
          <w:rFonts w:cstheme="minorHAnsi"/>
          <w:sz w:val="20"/>
          <w:szCs w:val="20"/>
        </w:rPr>
        <w:t xml:space="preserve"> inspanningen</w:t>
      </w:r>
      <w:r w:rsidR="00560E5D">
        <w:rPr>
          <w:rFonts w:cstheme="minorHAnsi"/>
          <w:sz w:val="20"/>
          <w:szCs w:val="20"/>
        </w:rPr>
        <w:t xml:space="preserve"> geleverd om alle kinderen altijd aanwezig te hebben, maar in de hardnekkige gevallen </w:t>
      </w:r>
      <w:r w:rsidR="007610E2">
        <w:rPr>
          <w:rFonts w:cstheme="minorHAnsi"/>
          <w:sz w:val="20"/>
          <w:szCs w:val="20"/>
        </w:rPr>
        <w:t>ontbreekt tijdige externe ondersteuning (wachtlijsten) en/of</w:t>
      </w:r>
      <w:r w:rsidR="00560E5D">
        <w:rPr>
          <w:rFonts w:cstheme="minorHAnsi"/>
          <w:sz w:val="20"/>
          <w:szCs w:val="20"/>
        </w:rPr>
        <w:t xml:space="preserve"> nodige sanctionering en dus </w:t>
      </w:r>
      <w:r w:rsidR="007610E2">
        <w:rPr>
          <w:rFonts w:cstheme="minorHAnsi"/>
          <w:sz w:val="20"/>
          <w:szCs w:val="20"/>
        </w:rPr>
        <w:t xml:space="preserve">ook </w:t>
      </w:r>
      <w:r w:rsidR="00560E5D">
        <w:rPr>
          <w:rFonts w:cstheme="minorHAnsi"/>
          <w:sz w:val="20"/>
          <w:szCs w:val="20"/>
        </w:rPr>
        <w:t>het resultaat</w:t>
      </w:r>
    </w:p>
    <w:p w:rsidR="00E30AF2" w:rsidRDefault="00E30AF2" w:rsidP="00B20E1B">
      <w:pPr>
        <w:pStyle w:val="Lijstalinea"/>
        <w:numPr>
          <w:ilvl w:val="0"/>
          <w:numId w:val="25"/>
        </w:numPr>
        <w:spacing w:line="276" w:lineRule="auto"/>
        <w:jc w:val="both"/>
        <w:rPr>
          <w:rFonts w:cstheme="minorHAnsi"/>
          <w:sz w:val="20"/>
          <w:szCs w:val="20"/>
        </w:rPr>
      </w:pPr>
      <w:r>
        <w:rPr>
          <w:rFonts w:cstheme="minorHAnsi"/>
          <w:sz w:val="20"/>
          <w:szCs w:val="20"/>
        </w:rPr>
        <w:t>Wat kan er beter:</w:t>
      </w:r>
    </w:p>
    <w:p w:rsidR="00E30AF2" w:rsidRDefault="00E30AF2" w:rsidP="00E30AF2">
      <w:pPr>
        <w:pStyle w:val="Lijstalinea"/>
        <w:numPr>
          <w:ilvl w:val="1"/>
          <w:numId w:val="25"/>
        </w:numPr>
        <w:spacing w:line="276" w:lineRule="auto"/>
        <w:jc w:val="both"/>
        <w:rPr>
          <w:rFonts w:cstheme="minorHAnsi"/>
          <w:sz w:val="20"/>
          <w:szCs w:val="20"/>
        </w:rPr>
      </w:pPr>
      <w:r>
        <w:rPr>
          <w:rFonts w:cstheme="minorHAnsi"/>
          <w:sz w:val="20"/>
          <w:szCs w:val="20"/>
        </w:rPr>
        <w:t>Kortere lijnen tussen de betrokken scholen en diensten</w:t>
      </w:r>
      <w:r w:rsidR="006A0B74">
        <w:rPr>
          <w:rFonts w:cstheme="minorHAnsi"/>
          <w:sz w:val="20"/>
          <w:szCs w:val="20"/>
        </w:rPr>
        <w:t xml:space="preserve">. De hulpverlening zoals ze nu georganiseerd is, is veel te </w:t>
      </w:r>
      <w:proofErr w:type="spellStart"/>
      <w:r w:rsidR="006A0B74">
        <w:rPr>
          <w:rFonts w:cstheme="minorHAnsi"/>
          <w:sz w:val="20"/>
          <w:szCs w:val="20"/>
        </w:rPr>
        <w:t>traagl</w:t>
      </w:r>
      <w:proofErr w:type="spellEnd"/>
      <w:r w:rsidR="006A0B74">
        <w:rPr>
          <w:rFonts w:cstheme="minorHAnsi"/>
          <w:sz w:val="20"/>
          <w:szCs w:val="20"/>
        </w:rPr>
        <w:t>.</w:t>
      </w:r>
    </w:p>
    <w:p w:rsidR="00E30AF2" w:rsidRDefault="00E30AF2" w:rsidP="00E30AF2">
      <w:pPr>
        <w:pStyle w:val="Lijstalinea"/>
        <w:numPr>
          <w:ilvl w:val="1"/>
          <w:numId w:val="25"/>
        </w:numPr>
        <w:spacing w:line="276" w:lineRule="auto"/>
        <w:jc w:val="both"/>
        <w:rPr>
          <w:rFonts w:cstheme="minorHAnsi"/>
          <w:sz w:val="20"/>
          <w:szCs w:val="20"/>
        </w:rPr>
      </w:pPr>
      <w:r>
        <w:rPr>
          <w:rFonts w:cstheme="minorHAnsi"/>
          <w:sz w:val="20"/>
          <w:szCs w:val="20"/>
        </w:rPr>
        <w:t>Focus op de kleuters, en zelfs de voorschoolse periode. In die zin worden Kind &amp; Gezin en Huis van het Kind heel belangrijke partners</w:t>
      </w:r>
    </w:p>
    <w:p w:rsidR="00375F6B" w:rsidRDefault="00E30AF2" w:rsidP="00CC7A3D">
      <w:pPr>
        <w:pStyle w:val="Lijstalinea"/>
        <w:numPr>
          <w:ilvl w:val="1"/>
          <w:numId w:val="25"/>
        </w:numPr>
        <w:spacing w:line="276" w:lineRule="auto"/>
        <w:jc w:val="both"/>
        <w:rPr>
          <w:rFonts w:cstheme="minorHAnsi"/>
          <w:sz w:val="20"/>
          <w:szCs w:val="20"/>
        </w:rPr>
      </w:pPr>
      <w:r w:rsidRPr="006A0B74">
        <w:rPr>
          <w:rFonts w:cstheme="minorHAnsi"/>
          <w:sz w:val="20"/>
          <w:szCs w:val="20"/>
        </w:rPr>
        <w:t>Een succesvolle</w:t>
      </w:r>
      <w:r w:rsidR="006A0B74" w:rsidRPr="006A0B74">
        <w:rPr>
          <w:rFonts w:cstheme="minorHAnsi"/>
          <w:sz w:val="20"/>
          <w:szCs w:val="20"/>
        </w:rPr>
        <w:t xml:space="preserve"> aanpak is gebruik maken van brugfiguren. Zo kan je heel kort op de bal spelen en sterk</w:t>
      </w:r>
      <w:r w:rsidR="006A0B74">
        <w:rPr>
          <w:rFonts w:cstheme="minorHAnsi"/>
          <w:sz w:val="20"/>
          <w:szCs w:val="20"/>
        </w:rPr>
        <w:t xml:space="preserve"> werken aan ouderbetrokkenheid</w:t>
      </w:r>
    </w:p>
    <w:p w:rsidR="006A0B74" w:rsidRDefault="00E06ACB" w:rsidP="006A0B74">
      <w:pPr>
        <w:pStyle w:val="Lijstalinea"/>
        <w:numPr>
          <w:ilvl w:val="0"/>
          <w:numId w:val="25"/>
        </w:numPr>
        <w:spacing w:line="276" w:lineRule="auto"/>
        <w:jc w:val="both"/>
        <w:rPr>
          <w:rFonts w:cstheme="minorHAnsi"/>
          <w:sz w:val="20"/>
          <w:szCs w:val="20"/>
        </w:rPr>
      </w:pPr>
      <w:r>
        <w:rPr>
          <w:rFonts w:cstheme="minorHAnsi"/>
          <w:sz w:val="20"/>
          <w:szCs w:val="20"/>
        </w:rPr>
        <w:t>Dirk zal de aanwezige gegevens over CLB-begeleidingen naar aanleiding van afwezigheden bekijken. Met deze gegevens en de gegevens van de enquête zouden we tot een betere diagnose moeten kunnen komen</w:t>
      </w:r>
    </w:p>
    <w:p w:rsidR="00016DA9" w:rsidRDefault="00E06ACB" w:rsidP="006A0B74">
      <w:pPr>
        <w:pStyle w:val="Lijstalinea"/>
        <w:numPr>
          <w:ilvl w:val="0"/>
          <w:numId w:val="25"/>
        </w:numPr>
        <w:spacing w:line="276" w:lineRule="auto"/>
        <w:jc w:val="both"/>
        <w:rPr>
          <w:rFonts w:cstheme="minorHAnsi"/>
          <w:sz w:val="20"/>
          <w:szCs w:val="20"/>
        </w:rPr>
      </w:pPr>
      <w:r>
        <w:rPr>
          <w:rFonts w:cstheme="minorHAnsi"/>
          <w:sz w:val="20"/>
          <w:szCs w:val="20"/>
        </w:rPr>
        <w:t xml:space="preserve">Volgende stuurgroep hernemen we dit punt met verschillende </w:t>
      </w:r>
      <w:proofErr w:type="spellStart"/>
      <w:r>
        <w:rPr>
          <w:rFonts w:cstheme="minorHAnsi"/>
          <w:sz w:val="20"/>
          <w:szCs w:val="20"/>
        </w:rPr>
        <w:t>sterugkoppelingen</w:t>
      </w:r>
      <w:proofErr w:type="spellEnd"/>
      <w:r>
        <w:rPr>
          <w:rFonts w:cstheme="minorHAnsi"/>
          <w:sz w:val="20"/>
          <w:szCs w:val="20"/>
        </w:rPr>
        <w:t xml:space="preserve">: </w:t>
      </w:r>
    </w:p>
    <w:p w:rsidR="00016DA9" w:rsidRDefault="00E06ACB" w:rsidP="00016DA9">
      <w:pPr>
        <w:pStyle w:val="Lijstalinea"/>
        <w:numPr>
          <w:ilvl w:val="1"/>
          <w:numId w:val="25"/>
        </w:numPr>
        <w:spacing w:line="276" w:lineRule="auto"/>
        <w:jc w:val="both"/>
        <w:rPr>
          <w:rFonts w:cstheme="minorHAnsi"/>
          <w:sz w:val="20"/>
          <w:szCs w:val="20"/>
        </w:rPr>
      </w:pPr>
      <w:r>
        <w:rPr>
          <w:rFonts w:cstheme="minorHAnsi"/>
          <w:sz w:val="20"/>
          <w:szCs w:val="20"/>
        </w:rPr>
        <w:t xml:space="preserve">stuurgroep Huis van </w:t>
      </w:r>
      <w:proofErr w:type="spellStart"/>
      <w:r>
        <w:rPr>
          <w:rFonts w:cstheme="minorHAnsi"/>
          <w:sz w:val="20"/>
          <w:szCs w:val="20"/>
        </w:rPr>
        <w:t>eht</w:t>
      </w:r>
      <w:proofErr w:type="spellEnd"/>
      <w:r>
        <w:rPr>
          <w:rFonts w:cstheme="minorHAnsi"/>
          <w:sz w:val="20"/>
          <w:szCs w:val="20"/>
        </w:rPr>
        <w:t xml:space="preserve"> kin</w:t>
      </w:r>
      <w:r w:rsidR="00016DA9">
        <w:rPr>
          <w:rFonts w:cstheme="minorHAnsi"/>
          <w:sz w:val="20"/>
          <w:szCs w:val="20"/>
        </w:rPr>
        <w:t>d</w:t>
      </w:r>
    </w:p>
    <w:p w:rsidR="00016DA9" w:rsidRDefault="00016DA9" w:rsidP="00016DA9">
      <w:pPr>
        <w:pStyle w:val="Lijstalinea"/>
        <w:numPr>
          <w:ilvl w:val="1"/>
          <w:numId w:val="25"/>
        </w:numPr>
        <w:spacing w:line="276" w:lineRule="auto"/>
        <w:jc w:val="both"/>
        <w:rPr>
          <w:rFonts w:cstheme="minorHAnsi"/>
          <w:sz w:val="20"/>
          <w:szCs w:val="20"/>
        </w:rPr>
      </w:pPr>
      <w:r>
        <w:rPr>
          <w:rFonts w:cstheme="minorHAnsi"/>
          <w:sz w:val="20"/>
          <w:szCs w:val="20"/>
        </w:rPr>
        <w:t>enquête spijbelen</w:t>
      </w:r>
    </w:p>
    <w:p w:rsidR="00016DA9" w:rsidRDefault="00016DA9" w:rsidP="00016DA9">
      <w:pPr>
        <w:pStyle w:val="Lijstalinea"/>
        <w:numPr>
          <w:ilvl w:val="1"/>
          <w:numId w:val="25"/>
        </w:numPr>
        <w:spacing w:line="276" w:lineRule="auto"/>
        <w:jc w:val="both"/>
        <w:rPr>
          <w:rFonts w:cstheme="minorHAnsi"/>
          <w:sz w:val="20"/>
          <w:szCs w:val="20"/>
        </w:rPr>
      </w:pPr>
      <w:r>
        <w:rPr>
          <w:rFonts w:cstheme="minorHAnsi"/>
          <w:sz w:val="20"/>
          <w:szCs w:val="20"/>
        </w:rPr>
        <w:t>interventies CLB</w:t>
      </w:r>
    </w:p>
    <w:p w:rsidR="00E06ACB" w:rsidRPr="006A0B74" w:rsidRDefault="00016DA9" w:rsidP="00016DA9">
      <w:pPr>
        <w:pStyle w:val="Lijstalinea"/>
        <w:numPr>
          <w:ilvl w:val="1"/>
          <w:numId w:val="25"/>
        </w:numPr>
        <w:spacing w:line="276" w:lineRule="auto"/>
        <w:jc w:val="both"/>
        <w:rPr>
          <w:rFonts w:cstheme="minorHAnsi"/>
          <w:sz w:val="20"/>
          <w:szCs w:val="20"/>
        </w:rPr>
      </w:pPr>
      <w:r>
        <w:rPr>
          <w:rFonts w:cstheme="minorHAnsi"/>
          <w:sz w:val="20"/>
          <w:szCs w:val="20"/>
        </w:rPr>
        <w:t>registraties kleuteraanwezigheid</w:t>
      </w:r>
    </w:p>
    <w:p w:rsidR="00B04904" w:rsidRDefault="00B04904" w:rsidP="00A97923">
      <w:pPr>
        <w:spacing w:line="276" w:lineRule="auto"/>
        <w:jc w:val="both"/>
        <w:rPr>
          <w:rFonts w:cstheme="minorHAnsi"/>
          <w:sz w:val="20"/>
          <w:szCs w:val="20"/>
        </w:rPr>
      </w:pPr>
    </w:p>
    <w:p w:rsidR="00CA7B7D" w:rsidRDefault="00CA7B7D" w:rsidP="00CA7B7D">
      <w:pPr>
        <w:pStyle w:val="Lijstalinea"/>
        <w:numPr>
          <w:ilvl w:val="0"/>
          <w:numId w:val="2"/>
        </w:numPr>
        <w:shd w:val="clear" w:color="auto" w:fill="F2F2F2" w:themeFill="background1" w:themeFillShade="F2"/>
        <w:spacing w:line="254" w:lineRule="auto"/>
      </w:pPr>
      <w:r>
        <w:t>Niet-ingeschreven kleuters</w:t>
      </w:r>
    </w:p>
    <w:p w:rsidR="00B04904" w:rsidRDefault="009C6AD1" w:rsidP="00A97923">
      <w:pPr>
        <w:spacing w:line="276" w:lineRule="auto"/>
        <w:jc w:val="both"/>
        <w:rPr>
          <w:rFonts w:cstheme="minorHAnsi"/>
          <w:sz w:val="20"/>
          <w:szCs w:val="20"/>
        </w:rPr>
      </w:pPr>
      <w:r>
        <w:rPr>
          <w:rFonts w:cstheme="minorHAnsi"/>
          <w:sz w:val="20"/>
          <w:szCs w:val="20"/>
        </w:rPr>
        <w:t>De gegevens over de niet-ingeschreven vier- en vijfjarige kleuters zijn reeds bekend. Voor Oudenaarde gaat het om 3 vijfjarigen, waaronder een tweeling</w:t>
      </w:r>
      <w:r w:rsidR="00F7596A">
        <w:rPr>
          <w:rFonts w:cstheme="minorHAnsi"/>
          <w:sz w:val="20"/>
          <w:szCs w:val="20"/>
        </w:rPr>
        <w:t xml:space="preserve"> waarvan Kind &amp; Gezin laatst heeft vastgesteld dat het gezin in het buitenland verblijft.</w:t>
      </w:r>
    </w:p>
    <w:p w:rsidR="00F7596A" w:rsidRDefault="00F7596A" w:rsidP="00A97923">
      <w:pPr>
        <w:spacing w:line="276" w:lineRule="auto"/>
        <w:jc w:val="both"/>
        <w:rPr>
          <w:rFonts w:cstheme="minorHAnsi"/>
          <w:sz w:val="20"/>
          <w:szCs w:val="20"/>
        </w:rPr>
      </w:pPr>
      <w:r>
        <w:rPr>
          <w:rFonts w:cstheme="minorHAnsi"/>
          <w:sz w:val="20"/>
          <w:szCs w:val="20"/>
        </w:rPr>
        <w:t>Het LOP beslist om het eventuele initiatief om de kinderen toe te leiden naar onderwijs over te laten aan Kind &amp; Gezin.</w:t>
      </w:r>
    </w:p>
    <w:p w:rsidR="009C6AD1" w:rsidRDefault="009C6AD1" w:rsidP="00A97923">
      <w:pPr>
        <w:spacing w:line="276" w:lineRule="auto"/>
        <w:jc w:val="both"/>
        <w:rPr>
          <w:rFonts w:cstheme="minorHAnsi"/>
          <w:sz w:val="20"/>
          <w:szCs w:val="20"/>
        </w:rPr>
      </w:pPr>
    </w:p>
    <w:p w:rsidR="00F7596A" w:rsidRDefault="00F7596A" w:rsidP="00F7596A">
      <w:pPr>
        <w:pStyle w:val="Lijstalinea"/>
        <w:numPr>
          <w:ilvl w:val="0"/>
          <w:numId w:val="2"/>
        </w:numPr>
        <w:shd w:val="clear" w:color="auto" w:fill="F2F2F2" w:themeFill="background1" w:themeFillShade="F2"/>
        <w:spacing w:line="254" w:lineRule="auto"/>
      </w:pPr>
      <w:r>
        <w:t>Varia</w:t>
      </w:r>
    </w:p>
    <w:p w:rsidR="009C6AD1" w:rsidRDefault="00F7596A" w:rsidP="00A97923">
      <w:pPr>
        <w:spacing w:line="276" w:lineRule="auto"/>
        <w:jc w:val="both"/>
        <w:rPr>
          <w:rFonts w:cstheme="minorHAnsi"/>
          <w:sz w:val="20"/>
          <w:szCs w:val="20"/>
        </w:rPr>
      </w:pPr>
      <w:r>
        <w:rPr>
          <w:rFonts w:cstheme="minorHAnsi"/>
          <w:sz w:val="20"/>
          <w:szCs w:val="20"/>
        </w:rPr>
        <w:t>Dirk Librecht van vrij CLB signaleert dat het voorkomt dat kinderen bijkomende betalende diagnostiek nodig hebben (bv. in functie van een verslag) en dat hun ouders dat niet kunnen betalen</w:t>
      </w:r>
      <w:r w:rsidR="001E01E5">
        <w:rPr>
          <w:rFonts w:cstheme="minorHAnsi"/>
          <w:sz w:val="20"/>
          <w:szCs w:val="20"/>
        </w:rPr>
        <w:t>. Hetzelfde kan gelden voor bijkomend medisch onderzoek.</w:t>
      </w:r>
    </w:p>
    <w:p w:rsidR="00B04904" w:rsidRDefault="001E01E5" w:rsidP="00A97923">
      <w:pPr>
        <w:spacing w:line="276" w:lineRule="auto"/>
        <w:jc w:val="both"/>
        <w:rPr>
          <w:rFonts w:cstheme="minorHAnsi"/>
          <w:sz w:val="20"/>
          <w:szCs w:val="20"/>
        </w:rPr>
      </w:pPr>
      <w:r>
        <w:rPr>
          <w:rFonts w:cstheme="minorHAnsi"/>
          <w:sz w:val="20"/>
          <w:szCs w:val="20"/>
        </w:rPr>
        <w:t>Het Sociaal Huis kan hierin tegemoetkomen mits een voorafgaand individueel onderzoek. De aanvraag gebeurt best door het CLB, met goedkeuring ouders. De beslissing valt binnen de 30 dagen.</w:t>
      </w:r>
    </w:p>
    <w:sectPr w:rsidR="00B04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13A"/>
    <w:multiLevelType w:val="hybridMultilevel"/>
    <w:tmpl w:val="794E1884"/>
    <w:lvl w:ilvl="0" w:tplc="6CFC98F4">
      <w:numFmt w:val="bullet"/>
      <w:lvlText w:val="-"/>
      <w:lvlJc w:val="left"/>
      <w:pPr>
        <w:ind w:left="1080" w:hanging="360"/>
      </w:pPr>
      <w:rPr>
        <w:rFonts w:ascii="Calibri" w:eastAsiaTheme="minorHAnsi" w:hAnsi="Calibri"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42E7FD5"/>
    <w:multiLevelType w:val="hybridMultilevel"/>
    <w:tmpl w:val="B44C6D46"/>
    <w:lvl w:ilvl="0" w:tplc="4CE2E688">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F90269"/>
    <w:multiLevelType w:val="hybridMultilevel"/>
    <w:tmpl w:val="6D78F62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C695BEA"/>
    <w:multiLevelType w:val="hybridMultilevel"/>
    <w:tmpl w:val="35426F06"/>
    <w:lvl w:ilvl="0" w:tplc="6CFC98F4">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A52E48"/>
    <w:multiLevelType w:val="hybridMultilevel"/>
    <w:tmpl w:val="72A47B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CC159E"/>
    <w:multiLevelType w:val="hybridMultilevel"/>
    <w:tmpl w:val="57F271EA"/>
    <w:lvl w:ilvl="0" w:tplc="715E95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FF32F8"/>
    <w:multiLevelType w:val="hybridMultilevel"/>
    <w:tmpl w:val="10B0994C"/>
    <w:lvl w:ilvl="0" w:tplc="6CFC98F4">
      <w:numFmt w:val="bullet"/>
      <w:lvlText w:val="-"/>
      <w:lvlJc w:val="left"/>
      <w:pPr>
        <w:ind w:left="1080" w:hanging="360"/>
      </w:pPr>
      <w:rPr>
        <w:rFonts w:ascii="Calibri" w:eastAsiaTheme="minorHAnsi" w:hAnsi="Calibri"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D333F4A"/>
    <w:multiLevelType w:val="hybridMultilevel"/>
    <w:tmpl w:val="5D5C0908"/>
    <w:lvl w:ilvl="0" w:tplc="6CFC98F4">
      <w:numFmt w:val="bullet"/>
      <w:lvlText w:val="-"/>
      <w:lvlJc w:val="left"/>
      <w:pPr>
        <w:ind w:left="1080" w:hanging="360"/>
      </w:pPr>
      <w:rPr>
        <w:rFonts w:ascii="Calibri" w:eastAsiaTheme="minorHAnsi" w:hAnsi="Calibri"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6186E4C"/>
    <w:multiLevelType w:val="hybridMultilevel"/>
    <w:tmpl w:val="47EE04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334DC0"/>
    <w:multiLevelType w:val="hybridMultilevel"/>
    <w:tmpl w:val="38D6E29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BB93DC5"/>
    <w:multiLevelType w:val="hybridMultilevel"/>
    <w:tmpl w:val="E240606E"/>
    <w:lvl w:ilvl="0" w:tplc="6CFC98F4">
      <w:numFmt w:val="bullet"/>
      <w:lvlText w:val="-"/>
      <w:lvlJc w:val="left"/>
      <w:pPr>
        <w:ind w:left="1080" w:hanging="360"/>
      </w:pPr>
      <w:rPr>
        <w:rFonts w:ascii="Calibri" w:eastAsiaTheme="minorHAnsi" w:hAnsi="Calibri"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5198690E"/>
    <w:multiLevelType w:val="hybridMultilevel"/>
    <w:tmpl w:val="F762EE6A"/>
    <w:lvl w:ilvl="0" w:tplc="6CFC98F4">
      <w:numFmt w:val="bullet"/>
      <w:lvlText w:val="-"/>
      <w:lvlJc w:val="left"/>
      <w:pPr>
        <w:ind w:left="1080" w:hanging="360"/>
      </w:pPr>
      <w:rPr>
        <w:rFonts w:ascii="Calibri" w:eastAsiaTheme="minorHAnsi" w:hAnsi="Calibri"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4DF4112"/>
    <w:multiLevelType w:val="hybridMultilevel"/>
    <w:tmpl w:val="A79A52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7AD4FB7"/>
    <w:multiLevelType w:val="hybridMultilevel"/>
    <w:tmpl w:val="96DA9356"/>
    <w:lvl w:ilvl="0" w:tplc="0B1EB8D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EF3018"/>
    <w:multiLevelType w:val="hybridMultilevel"/>
    <w:tmpl w:val="8F80B1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1816CAA"/>
    <w:multiLevelType w:val="hybridMultilevel"/>
    <w:tmpl w:val="169CAE2A"/>
    <w:lvl w:ilvl="0" w:tplc="FC1ECA6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64F564EF"/>
    <w:multiLevelType w:val="hybridMultilevel"/>
    <w:tmpl w:val="C94E5D7A"/>
    <w:lvl w:ilvl="0" w:tplc="6CFC98F4">
      <w:numFmt w:val="bullet"/>
      <w:lvlText w:val="-"/>
      <w:lvlJc w:val="left"/>
      <w:pPr>
        <w:ind w:left="1080" w:hanging="360"/>
      </w:pPr>
      <w:rPr>
        <w:rFonts w:ascii="Calibri" w:eastAsiaTheme="minorHAnsi" w:hAnsi="Calibri"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65611634"/>
    <w:multiLevelType w:val="hybridMultilevel"/>
    <w:tmpl w:val="1550FCE2"/>
    <w:lvl w:ilvl="0" w:tplc="6CFC98F4">
      <w:numFmt w:val="bullet"/>
      <w:lvlText w:val="-"/>
      <w:lvlJc w:val="left"/>
      <w:pPr>
        <w:ind w:left="360" w:hanging="360"/>
      </w:pPr>
      <w:rPr>
        <w:rFonts w:ascii="Calibri" w:eastAsiaTheme="minorHAnsi" w:hAnsi="Calibri" w:cstheme="minorHAns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76E2544"/>
    <w:multiLevelType w:val="hybridMultilevel"/>
    <w:tmpl w:val="C660F9D0"/>
    <w:lvl w:ilvl="0" w:tplc="ABD8EB3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8FF5296"/>
    <w:multiLevelType w:val="hybridMultilevel"/>
    <w:tmpl w:val="17F8CF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EF33530"/>
    <w:multiLevelType w:val="hybridMultilevel"/>
    <w:tmpl w:val="0ECE54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00F51CC"/>
    <w:multiLevelType w:val="hybridMultilevel"/>
    <w:tmpl w:val="0D861110"/>
    <w:lvl w:ilvl="0" w:tplc="AADC4658">
      <w:start w:val="29"/>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5430FB"/>
    <w:multiLevelType w:val="hybridMultilevel"/>
    <w:tmpl w:val="987075E4"/>
    <w:lvl w:ilvl="0" w:tplc="6CFC98F4">
      <w:numFmt w:val="bullet"/>
      <w:lvlText w:val="-"/>
      <w:lvlJc w:val="left"/>
      <w:pPr>
        <w:ind w:left="1080" w:hanging="360"/>
      </w:pPr>
      <w:rPr>
        <w:rFonts w:ascii="Calibri" w:eastAsiaTheme="minorHAnsi" w:hAnsi="Calibri"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5"/>
  </w:num>
  <w:num w:numId="4">
    <w:abstractNumId w:val="10"/>
  </w:num>
  <w:num w:numId="5">
    <w:abstractNumId w:val="2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
  </w:num>
  <w:num w:numId="12">
    <w:abstractNumId w:val="19"/>
  </w:num>
  <w:num w:numId="13">
    <w:abstractNumId w:val="2"/>
  </w:num>
  <w:num w:numId="14">
    <w:abstractNumId w:val="21"/>
  </w:num>
  <w:num w:numId="15">
    <w:abstractNumId w:val="9"/>
  </w:num>
  <w:num w:numId="16">
    <w:abstractNumId w:val="4"/>
  </w:num>
  <w:num w:numId="17">
    <w:abstractNumId w:val="3"/>
  </w:num>
  <w:num w:numId="18">
    <w:abstractNumId w:val="6"/>
  </w:num>
  <w:num w:numId="19">
    <w:abstractNumId w:val="17"/>
  </w:num>
  <w:num w:numId="20">
    <w:abstractNumId w:val="0"/>
  </w:num>
  <w:num w:numId="21">
    <w:abstractNumId w:val="23"/>
  </w:num>
  <w:num w:numId="22">
    <w:abstractNumId w:val="12"/>
  </w:num>
  <w:num w:numId="23">
    <w:abstractNumId w:val="11"/>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F6"/>
    <w:rsid w:val="00007AAE"/>
    <w:rsid w:val="00016DA9"/>
    <w:rsid w:val="00037E51"/>
    <w:rsid w:val="000B5619"/>
    <w:rsid w:val="00160F0A"/>
    <w:rsid w:val="001A5430"/>
    <w:rsid w:val="001D0EF8"/>
    <w:rsid w:val="001D6AF4"/>
    <w:rsid w:val="001E01E5"/>
    <w:rsid w:val="0020673C"/>
    <w:rsid w:val="00216104"/>
    <w:rsid w:val="002F0F7F"/>
    <w:rsid w:val="00305AD2"/>
    <w:rsid w:val="00306996"/>
    <w:rsid w:val="00353441"/>
    <w:rsid w:val="00375F6B"/>
    <w:rsid w:val="0037693B"/>
    <w:rsid w:val="003E4BAC"/>
    <w:rsid w:val="00414D34"/>
    <w:rsid w:val="004252E5"/>
    <w:rsid w:val="00425B3A"/>
    <w:rsid w:val="00441B31"/>
    <w:rsid w:val="00465AAB"/>
    <w:rsid w:val="00481139"/>
    <w:rsid w:val="00505818"/>
    <w:rsid w:val="00515E18"/>
    <w:rsid w:val="00521528"/>
    <w:rsid w:val="00531129"/>
    <w:rsid w:val="00560E5D"/>
    <w:rsid w:val="005D2B1D"/>
    <w:rsid w:val="005D6B29"/>
    <w:rsid w:val="005F44AC"/>
    <w:rsid w:val="00622B59"/>
    <w:rsid w:val="00646D9E"/>
    <w:rsid w:val="0066563D"/>
    <w:rsid w:val="006A0B74"/>
    <w:rsid w:val="0071089C"/>
    <w:rsid w:val="0071562E"/>
    <w:rsid w:val="007570EF"/>
    <w:rsid w:val="00757B58"/>
    <w:rsid w:val="007610E2"/>
    <w:rsid w:val="007A325D"/>
    <w:rsid w:val="007A690F"/>
    <w:rsid w:val="00825098"/>
    <w:rsid w:val="008421EA"/>
    <w:rsid w:val="00845B55"/>
    <w:rsid w:val="008461F6"/>
    <w:rsid w:val="008464CB"/>
    <w:rsid w:val="0091241B"/>
    <w:rsid w:val="00921106"/>
    <w:rsid w:val="00922575"/>
    <w:rsid w:val="00997F12"/>
    <w:rsid w:val="009C6AD1"/>
    <w:rsid w:val="00A03BC3"/>
    <w:rsid w:val="00A43B97"/>
    <w:rsid w:val="00A97923"/>
    <w:rsid w:val="00AF4690"/>
    <w:rsid w:val="00B04904"/>
    <w:rsid w:val="00B20E1B"/>
    <w:rsid w:val="00B625EC"/>
    <w:rsid w:val="00B74E20"/>
    <w:rsid w:val="00B827E0"/>
    <w:rsid w:val="00BB5EC6"/>
    <w:rsid w:val="00BF2E76"/>
    <w:rsid w:val="00C15B4D"/>
    <w:rsid w:val="00C57C0C"/>
    <w:rsid w:val="00CA7B7D"/>
    <w:rsid w:val="00CB0D32"/>
    <w:rsid w:val="00CB53EC"/>
    <w:rsid w:val="00CD593C"/>
    <w:rsid w:val="00CE48FE"/>
    <w:rsid w:val="00CF6CE4"/>
    <w:rsid w:val="00CF72E7"/>
    <w:rsid w:val="00D22018"/>
    <w:rsid w:val="00D92939"/>
    <w:rsid w:val="00DB222D"/>
    <w:rsid w:val="00DD52A3"/>
    <w:rsid w:val="00E0056C"/>
    <w:rsid w:val="00E06ACB"/>
    <w:rsid w:val="00E30AF2"/>
    <w:rsid w:val="00E72192"/>
    <w:rsid w:val="00EF70D2"/>
    <w:rsid w:val="00F463E4"/>
    <w:rsid w:val="00F53D92"/>
    <w:rsid w:val="00F56E69"/>
    <w:rsid w:val="00F7596A"/>
    <w:rsid w:val="00FA7498"/>
    <w:rsid w:val="00FB7118"/>
    <w:rsid w:val="00FE75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4A820-C843-49B9-9008-828061F1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61F6"/>
    <w:pPr>
      <w:ind w:left="720"/>
      <w:contextualSpacing/>
    </w:pPr>
  </w:style>
  <w:style w:type="table" w:styleId="Tabelraster">
    <w:name w:val="Table Grid"/>
    <w:basedOn w:val="Standaardtabel"/>
    <w:uiPriority w:val="39"/>
    <w:rsid w:val="00CB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97923"/>
    <w:pPr>
      <w:spacing w:after="0" w:line="240" w:lineRule="auto"/>
    </w:pPr>
  </w:style>
  <w:style w:type="character" w:styleId="Zwaar">
    <w:name w:val="Strong"/>
    <w:basedOn w:val="Standaardalinea-lettertype"/>
    <w:qFormat/>
    <w:rsid w:val="00A97923"/>
    <w:rPr>
      <w:b/>
      <w:bCs/>
    </w:rPr>
  </w:style>
  <w:style w:type="character" w:styleId="Hyperlink">
    <w:name w:val="Hyperlink"/>
    <w:basedOn w:val="Standaardalinea-lettertype"/>
    <w:uiPriority w:val="99"/>
    <w:unhideWhenUsed/>
    <w:rsid w:val="00665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1915</TotalTime>
  <Pages>4</Pages>
  <Words>1360</Words>
  <Characters>7486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63</cp:revision>
  <dcterms:created xsi:type="dcterms:W3CDTF">2017-10-27T09:17:00Z</dcterms:created>
  <dcterms:modified xsi:type="dcterms:W3CDTF">2018-02-06T14:27:00Z</dcterms:modified>
</cp:coreProperties>
</file>